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02" w:firstLineChars="200"/>
        <w:jc w:val="left"/>
        <w:rPr>
          <w:rFonts w:ascii="仿宋_GB2312" w:hAnsi="仿宋"/>
          <w:b/>
          <w:szCs w:val="30"/>
        </w:rPr>
      </w:pPr>
      <w:bookmarkStart w:id="86" w:name="_GoBack"/>
      <w:bookmarkEnd w:id="86"/>
    </w:p>
    <w:p>
      <w:pPr>
        <w:spacing w:line="560" w:lineRule="exact"/>
        <w:ind w:firstLine="602" w:firstLineChars="200"/>
        <w:jc w:val="left"/>
        <w:rPr>
          <w:rFonts w:ascii="仿宋_GB2312" w:hAnsi="仿宋"/>
          <w:b/>
          <w:szCs w:val="30"/>
        </w:rPr>
      </w:pPr>
    </w:p>
    <w:p>
      <w:pPr>
        <w:spacing w:line="560" w:lineRule="exact"/>
        <w:ind w:firstLine="602" w:firstLineChars="200"/>
        <w:jc w:val="left"/>
        <w:rPr>
          <w:rFonts w:ascii="仿宋_GB2312" w:hAnsi="仿宋"/>
          <w:b/>
          <w:szCs w:val="30"/>
        </w:rPr>
      </w:pPr>
    </w:p>
    <w:p>
      <w:pPr>
        <w:spacing w:beforeLines="100" w:line="560" w:lineRule="exact"/>
        <w:rPr>
          <w:rFonts w:ascii="仿宋_GB2312" w:hAnsi="仿宋"/>
          <w:b/>
          <w:szCs w:val="30"/>
        </w:rPr>
      </w:pPr>
      <w:bookmarkStart w:id="0" w:name="_Hlk16774390"/>
    </w:p>
    <w:bookmarkEnd w:id="0"/>
    <w:p>
      <w:pPr>
        <w:spacing w:beforeLines="50" w:afterLines="50" w:line="360" w:lineRule="auto"/>
        <w:jc w:val="center"/>
        <w:rPr>
          <w:rFonts w:hint="eastAsia" w:ascii="仿宋" w:hAnsi="仿宋" w:eastAsia="仿宋" w:cs="仿宋"/>
          <w:b/>
          <w:bCs/>
          <w:spacing w:val="-20"/>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b/>
          <w:bCs/>
          <w:spacing w:val="-20"/>
          <w:sz w:val="36"/>
          <w:szCs w:val="36"/>
        </w:rPr>
      </w:pPr>
      <w:r>
        <w:rPr>
          <w:rFonts w:hint="eastAsia" w:ascii="仿宋" w:hAnsi="仿宋" w:eastAsia="仿宋" w:cs="仿宋"/>
          <w:b/>
          <w:bCs/>
          <w:spacing w:val="-20"/>
          <w:sz w:val="36"/>
          <w:szCs w:val="36"/>
        </w:rPr>
        <w:t>巫溪县2019年涉农整合资金</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b/>
          <w:bCs/>
          <w:spacing w:val="-20"/>
          <w:sz w:val="36"/>
          <w:szCs w:val="36"/>
        </w:rPr>
      </w:pPr>
      <w:r>
        <w:rPr>
          <w:rFonts w:hint="eastAsia" w:ascii="仿宋" w:hAnsi="仿宋" w:eastAsia="仿宋" w:cs="仿宋"/>
          <w:b/>
          <w:bCs/>
          <w:spacing w:val="-20"/>
          <w:sz w:val="36"/>
          <w:szCs w:val="36"/>
        </w:rPr>
        <w:t>特色产业发展项目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b/>
          <w:bCs/>
          <w:sz w:val="44"/>
          <w:szCs w:val="44"/>
        </w:rPr>
      </w:pPr>
      <w:r>
        <w:rPr>
          <w:rFonts w:hint="eastAsia" w:ascii="仿宋" w:hAnsi="仿宋" w:eastAsia="仿宋" w:cs="仿宋"/>
          <w:b/>
          <w:bCs/>
          <w:sz w:val="44"/>
          <w:szCs w:val="44"/>
        </w:rPr>
        <w:t>绩 效 评 价 报 告</w:t>
      </w:r>
    </w:p>
    <w:p>
      <w:pPr>
        <w:spacing w:line="600" w:lineRule="auto"/>
        <w:jc w:val="center"/>
        <w:rPr>
          <w:rFonts w:ascii="仿宋" w:hAnsi="仿宋" w:eastAsia="仿宋" w:cs="仿宋"/>
          <w:b/>
          <w:bCs/>
          <w:color w:val="000000"/>
          <w:spacing w:val="-10"/>
          <w:sz w:val="32"/>
          <w:szCs w:val="32"/>
        </w:rPr>
      </w:pPr>
      <w:r>
        <w:rPr>
          <w:rFonts w:hint="eastAsia" w:ascii="仿宋" w:hAnsi="仿宋" w:eastAsia="仿宋" w:cs="仿宋"/>
          <w:b/>
          <w:bCs/>
          <w:color w:val="000000"/>
          <w:spacing w:val="-10"/>
          <w:sz w:val="32"/>
          <w:szCs w:val="32"/>
        </w:rPr>
        <w:t>重通会所咨</w:t>
      </w:r>
      <w:r>
        <w:rPr>
          <w:rFonts w:hint="eastAsia" w:ascii="仿宋" w:hAnsi="仿宋" w:eastAsia="仿宋" w:cs="仿宋"/>
          <w:b/>
          <w:bCs/>
          <w:color w:val="000000"/>
          <w:spacing w:val="-10"/>
          <w:sz w:val="32"/>
          <w:szCs w:val="32"/>
          <w:lang w:eastAsia="zh-CN"/>
        </w:rPr>
        <w:t>〔2020〕</w:t>
      </w:r>
      <w:r>
        <w:rPr>
          <w:rFonts w:hint="eastAsia" w:ascii="仿宋" w:hAnsi="仿宋" w:eastAsia="仿宋" w:cs="仿宋"/>
          <w:b/>
          <w:bCs/>
          <w:color w:val="000000"/>
          <w:spacing w:val="-10"/>
          <w:sz w:val="32"/>
          <w:szCs w:val="32"/>
        </w:rPr>
        <w:t>056号</w:t>
      </w: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_GB2312" w:hAnsi="宋体" w:cs="Arial"/>
          <w:b/>
          <w:sz w:val="32"/>
          <w:szCs w:val="32"/>
        </w:rPr>
      </w:pPr>
      <w:r>
        <w:rPr>
          <w:rFonts w:hint="eastAsia" w:ascii="仿宋_GB2312" w:hAnsi="宋体"/>
          <w:b/>
          <w:sz w:val="36"/>
          <w:szCs w:val="36"/>
        </w:rPr>
        <w:t>重庆通冠会计师事务所有限责任公司</w:t>
      </w:r>
    </w:p>
    <w:p>
      <w:pPr>
        <w:spacing w:line="560" w:lineRule="exact"/>
        <w:jc w:val="center"/>
        <w:rPr>
          <w:rFonts w:ascii="仿宋_GB2312" w:hAnsi="宋体"/>
          <w:b/>
          <w:sz w:val="32"/>
          <w:szCs w:val="32"/>
        </w:rPr>
      </w:pPr>
      <w:r>
        <w:rPr>
          <w:rFonts w:hint="eastAsia" w:ascii="仿宋_GB2312" w:hAnsi="宋体"/>
          <w:b/>
          <w:sz w:val="32"/>
          <w:szCs w:val="32"/>
        </w:rPr>
        <w:t>二○二〇年十</w:t>
      </w:r>
      <w:r>
        <w:rPr>
          <w:rFonts w:hint="eastAsia" w:ascii="仿宋_GB2312" w:hAnsi="宋体"/>
          <w:b/>
          <w:sz w:val="32"/>
          <w:szCs w:val="32"/>
          <w:lang w:eastAsia="zh-CN"/>
        </w:rPr>
        <w:t>二</w:t>
      </w:r>
      <w:r>
        <w:rPr>
          <w:rFonts w:hint="eastAsia" w:ascii="仿宋_GB2312" w:hAnsi="宋体"/>
          <w:b/>
          <w:sz w:val="32"/>
          <w:szCs w:val="32"/>
        </w:rPr>
        <w:t>月</w:t>
      </w:r>
    </w:p>
    <w:p>
      <w:pPr>
        <w:pageBreakBefore/>
        <w:spacing w:beforeLines="50" w:afterLines="50"/>
        <w:jc w:val="center"/>
        <w:rPr>
          <w:rFonts w:ascii="仿宋" w:hAnsi="仿宋" w:eastAsia="仿宋"/>
          <w:b/>
          <w:sz w:val="44"/>
          <w:szCs w:val="44"/>
        </w:rPr>
        <w:sectPr>
          <w:headerReference r:id="rId5" w:type="first"/>
          <w:headerReference r:id="rId3" w:type="default"/>
          <w:footerReference r:id="rId6" w:type="default"/>
          <w:headerReference r:id="rId4" w:type="even"/>
          <w:footerReference r:id="rId7" w:type="even"/>
          <w:footnotePr>
            <w:numFmt w:val="decimalEnclosedCircleChinese"/>
          </w:footnotePr>
          <w:pgSz w:w="11906" w:h="16838"/>
          <w:pgMar w:top="1418" w:right="1418" w:bottom="1417" w:left="1418" w:header="1021" w:footer="1021" w:gutter="284"/>
          <w:pgNumType w:start="0"/>
          <w:cols w:space="720" w:num="1"/>
          <w:titlePg/>
          <w:docGrid w:linePitch="312" w:charSpace="0"/>
        </w:sectPr>
      </w:pPr>
    </w:p>
    <w:p>
      <w:pPr>
        <w:pageBreakBefore/>
        <w:spacing w:beforeLines="50" w:afterLines="50"/>
        <w:jc w:val="center"/>
        <w:rPr>
          <w:rFonts w:ascii="仿宋" w:hAnsi="仿宋" w:eastAsia="仿宋"/>
          <w:sz w:val="44"/>
          <w:szCs w:val="44"/>
        </w:rPr>
      </w:pPr>
      <w:r>
        <w:rPr>
          <w:rFonts w:hint="eastAsia" w:ascii="仿宋" w:hAnsi="仿宋" w:eastAsia="仿宋"/>
          <w:b/>
          <w:sz w:val="44"/>
          <w:szCs w:val="44"/>
        </w:rPr>
        <w:t>目    录</w:t>
      </w:r>
    </w:p>
    <w:p>
      <w:pPr>
        <w:pStyle w:val="9"/>
        <w:tabs>
          <w:tab w:val="right" w:leader="dot" w:pos="8786"/>
          <w:tab w:val="clear" w:pos="8850"/>
        </w:tabs>
      </w:pPr>
      <w:r>
        <w:rPr>
          <w:rFonts w:hint="eastAsia" w:ascii="仿宋" w:eastAsia="仿宋"/>
          <w:color w:val="auto"/>
          <w:szCs w:val="30"/>
        </w:rPr>
        <w:fldChar w:fldCharType="begin"/>
      </w:r>
      <w:r>
        <w:rPr>
          <w:rFonts w:hint="eastAsia" w:ascii="仿宋" w:eastAsia="仿宋"/>
          <w:color w:val="auto"/>
          <w:szCs w:val="30"/>
        </w:rPr>
        <w:instrText xml:space="preserve"> TOC \o "1-2" \h \z \u </w:instrText>
      </w:r>
      <w:r>
        <w:rPr>
          <w:rFonts w:hint="eastAsia" w:ascii="仿宋" w:eastAsia="仿宋"/>
          <w:color w:val="auto"/>
          <w:szCs w:val="30"/>
        </w:rPr>
        <w:fldChar w:fldCharType="separate"/>
      </w:r>
      <w:r>
        <w:fldChar w:fldCharType="begin"/>
      </w:r>
      <w:r>
        <w:instrText xml:space="preserve"> HYPERLINK \l "_Toc15151" </w:instrText>
      </w:r>
      <w:r>
        <w:fldChar w:fldCharType="separate"/>
      </w:r>
      <w:r>
        <w:rPr>
          <w:rFonts w:hint="eastAsia" w:ascii="黑体" w:hAnsi="黑体" w:eastAsia="黑体" w:cs="黑体"/>
          <w:bCs/>
          <w:szCs w:val="32"/>
        </w:rPr>
        <w:t>一、 项目总体概况</w:t>
      </w:r>
      <w:r>
        <w:tab/>
      </w:r>
      <w:r>
        <w:fldChar w:fldCharType="begin"/>
      </w:r>
      <w:r>
        <w:instrText xml:space="preserve"> PAGEREF _Toc15151 </w:instrText>
      </w:r>
      <w:r>
        <w:fldChar w:fldCharType="separate"/>
      </w:r>
      <w:r>
        <w:t>1</w:t>
      </w:r>
      <w:r>
        <w:fldChar w:fldCharType="end"/>
      </w:r>
      <w:r>
        <w:fldChar w:fldCharType="end"/>
      </w:r>
    </w:p>
    <w:p>
      <w:pPr>
        <w:pStyle w:val="9"/>
        <w:tabs>
          <w:tab w:val="right" w:leader="dot" w:pos="8786"/>
          <w:tab w:val="clear" w:pos="8850"/>
        </w:tabs>
      </w:pPr>
      <w:r>
        <w:fldChar w:fldCharType="begin"/>
      </w:r>
      <w:r>
        <w:instrText xml:space="preserve"> HYPERLINK \l "_Toc25497" </w:instrText>
      </w:r>
      <w:r>
        <w:fldChar w:fldCharType="separate"/>
      </w:r>
      <w:r>
        <w:rPr>
          <w:rFonts w:hint="eastAsia" w:ascii="仿宋" w:eastAsia="仿宋" w:cs="仿宋"/>
          <w:bCs/>
          <w:szCs w:val="32"/>
        </w:rPr>
        <w:t>（一）项目基本情况</w:t>
      </w:r>
      <w:r>
        <w:tab/>
      </w:r>
      <w:r>
        <w:fldChar w:fldCharType="begin"/>
      </w:r>
      <w:r>
        <w:instrText xml:space="preserve"> PAGEREF _Toc25497 </w:instrText>
      </w:r>
      <w:r>
        <w:fldChar w:fldCharType="separate"/>
      </w:r>
      <w:r>
        <w:t>1</w:t>
      </w:r>
      <w:r>
        <w:fldChar w:fldCharType="end"/>
      </w:r>
      <w:r>
        <w:fldChar w:fldCharType="end"/>
      </w:r>
    </w:p>
    <w:p>
      <w:pPr>
        <w:pStyle w:val="9"/>
        <w:tabs>
          <w:tab w:val="right" w:leader="dot" w:pos="8786"/>
          <w:tab w:val="clear" w:pos="8850"/>
        </w:tabs>
      </w:pPr>
      <w:r>
        <w:fldChar w:fldCharType="begin"/>
      </w:r>
      <w:r>
        <w:instrText xml:space="preserve"> HYPERLINK \l "_Toc24248" </w:instrText>
      </w:r>
      <w:r>
        <w:fldChar w:fldCharType="separate"/>
      </w:r>
      <w:r>
        <w:rPr>
          <w:rFonts w:hint="eastAsia" w:ascii="仿宋" w:eastAsia="仿宋" w:cs="仿宋"/>
          <w:bCs/>
          <w:szCs w:val="32"/>
        </w:rPr>
        <w:t>（二）项目资金情况</w:t>
      </w:r>
      <w:r>
        <w:tab/>
      </w:r>
      <w:r>
        <w:fldChar w:fldCharType="begin"/>
      </w:r>
      <w:r>
        <w:instrText xml:space="preserve"> PAGEREF _Toc24248 </w:instrText>
      </w:r>
      <w:r>
        <w:fldChar w:fldCharType="separate"/>
      </w:r>
      <w:r>
        <w:t>2</w:t>
      </w:r>
      <w:r>
        <w:fldChar w:fldCharType="end"/>
      </w:r>
      <w:r>
        <w:fldChar w:fldCharType="end"/>
      </w:r>
    </w:p>
    <w:p>
      <w:pPr>
        <w:pStyle w:val="9"/>
        <w:tabs>
          <w:tab w:val="right" w:leader="dot" w:pos="8786"/>
          <w:tab w:val="clear" w:pos="8850"/>
        </w:tabs>
      </w:pPr>
      <w:r>
        <w:fldChar w:fldCharType="begin"/>
      </w:r>
      <w:r>
        <w:instrText xml:space="preserve"> HYPERLINK \l "_Toc4786" </w:instrText>
      </w:r>
      <w:r>
        <w:fldChar w:fldCharType="separate"/>
      </w:r>
      <w:r>
        <w:rPr>
          <w:rFonts w:hint="eastAsia" w:ascii="黑体" w:hAnsi="黑体" w:eastAsia="黑体" w:cs="黑体"/>
        </w:rPr>
        <w:t>二、绩效评价工作情况</w:t>
      </w:r>
      <w:r>
        <w:tab/>
      </w:r>
      <w:r>
        <w:fldChar w:fldCharType="begin"/>
      </w:r>
      <w:r>
        <w:instrText xml:space="preserve"> PAGEREF _Toc4786 </w:instrText>
      </w:r>
      <w:r>
        <w:fldChar w:fldCharType="separate"/>
      </w:r>
      <w:r>
        <w:t>3</w:t>
      </w:r>
      <w:r>
        <w:fldChar w:fldCharType="end"/>
      </w:r>
      <w:r>
        <w:fldChar w:fldCharType="end"/>
      </w:r>
    </w:p>
    <w:p>
      <w:pPr>
        <w:pStyle w:val="9"/>
        <w:tabs>
          <w:tab w:val="right" w:leader="dot" w:pos="8786"/>
          <w:tab w:val="clear" w:pos="8850"/>
        </w:tabs>
      </w:pPr>
      <w:r>
        <w:fldChar w:fldCharType="begin"/>
      </w:r>
      <w:r>
        <w:instrText xml:space="preserve"> HYPERLINK \l "_Toc16240" </w:instrText>
      </w:r>
      <w:r>
        <w:fldChar w:fldCharType="separate"/>
      </w:r>
      <w:r>
        <w:rPr>
          <w:rFonts w:hint="eastAsia" w:ascii="仿宋" w:eastAsia="仿宋"/>
          <w:szCs w:val="30"/>
        </w:rPr>
        <w:t>（一）绩效评价依据</w:t>
      </w:r>
      <w:r>
        <w:tab/>
      </w:r>
      <w:r>
        <w:fldChar w:fldCharType="begin"/>
      </w:r>
      <w:r>
        <w:instrText xml:space="preserve"> PAGEREF _Toc16240 </w:instrText>
      </w:r>
      <w:r>
        <w:fldChar w:fldCharType="separate"/>
      </w:r>
      <w:r>
        <w:t>3</w:t>
      </w:r>
      <w:r>
        <w:fldChar w:fldCharType="end"/>
      </w:r>
      <w:r>
        <w:fldChar w:fldCharType="end"/>
      </w:r>
    </w:p>
    <w:p>
      <w:pPr>
        <w:pStyle w:val="9"/>
        <w:tabs>
          <w:tab w:val="right" w:leader="dot" w:pos="8786"/>
          <w:tab w:val="clear" w:pos="8850"/>
        </w:tabs>
      </w:pPr>
      <w:r>
        <w:fldChar w:fldCharType="begin"/>
      </w:r>
      <w:r>
        <w:instrText xml:space="preserve"> HYPERLINK \l "_Toc29985" </w:instrText>
      </w:r>
      <w:r>
        <w:fldChar w:fldCharType="separate"/>
      </w:r>
      <w:r>
        <w:rPr>
          <w:rFonts w:hint="eastAsia" w:ascii="仿宋" w:eastAsia="仿宋"/>
          <w:szCs w:val="30"/>
        </w:rPr>
        <w:t>（二）评价主要目的、范围、内容</w:t>
      </w:r>
      <w:r>
        <w:tab/>
      </w:r>
      <w:r>
        <w:fldChar w:fldCharType="begin"/>
      </w:r>
      <w:r>
        <w:instrText xml:space="preserve"> PAGEREF _Toc29985 </w:instrText>
      </w:r>
      <w:r>
        <w:fldChar w:fldCharType="separate"/>
      </w:r>
      <w:r>
        <w:t>4</w:t>
      </w:r>
      <w:r>
        <w:fldChar w:fldCharType="end"/>
      </w:r>
      <w:r>
        <w:fldChar w:fldCharType="end"/>
      </w:r>
    </w:p>
    <w:p>
      <w:pPr>
        <w:pStyle w:val="9"/>
        <w:tabs>
          <w:tab w:val="right" w:leader="dot" w:pos="8786"/>
          <w:tab w:val="clear" w:pos="8850"/>
        </w:tabs>
      </w:pPr>
      <w:r>
        <w:fldChar w:fldCharType="begin"/>
      </w:r>
      <w:r>
        <w:instrText xml:space="preserve"> HYPERLINK \l "_Toc7808" </w:instrText>
      </w:r>
      <w:r>
        <w:fldChar w:fldCharType="separate"/>
      </w:r>
      <w:r>
        <w:rPr>
          <w:rFonts w:hint="eastAsia" w:ascii="仿宋" w:eastAsia="仿宋"/>
          <w:szCs w:val="30"/>
        </w:rPr>
        <w:t>（三）</w:t>
      </w:r>
      <w:r>
        <w:rPr>
          <w:rFonts w:hint="eastAsia" w:ascii="仿宋" w:eastAsia="仿宋" w:cs="仿宋"/>
          <w:szCs w:val="30"/>
        </w:rPr>
        <w:t>评价标准及评价方法</w:t>
      </w:r>
      <w:r>
        <w:tab/>
      </w:r>
      <w:r>
        <w:fldChar w:fldCharType="begin"/>
      </w:r>
      <w:r>
        <w:instrText xml:space="preserve"> PAGEREF _Toc7808 </w:instrText>
      </w:r>
      <w:r>
        <w:fldChar w:fldCharType="separate"/>
      </w:r>
      <w:r>
        <w:t>4</w:t>
      </w:r>
      <w:r>
        <w:fldChar w:fldCharType="end"/>
      </w:r>
      <w:r>
        <w:fldChar w:fldCharType="end"/>
      </w:r>
    </w:p>
    <w:p>
      <w:pPr>
        <w:pStyle w:val="9"/>
        <w:tabs>
          <w:tab w:val="right" w:leader="dot" w:pos="8786"/>
          <w:tab w:val="clear" w:pos="8850"/>
        </w:tabs>
      </w:pPr>
      <w:r>
        <w:fldChar w:fldCharType="begin"/>
      </w:r>
      <w:r>
        <w:instrText xml:space="preserve"> HYPERLINK \l "_Toc2173" </w:instrText>
      </w:r>
      <w:r>
        <w:fldChar w:fldCharType="separate"/>
      </w:r>
      <w:r>
        <w:rPr>
          <w:rFonts w:hint="eastAsia" w:ascii="仿宋" w:eastAsia="仿宋" w:cs="仿宋"/>
          <w:kern w:val="0"/>
          <w:szCs w:val="30"/>
        </w:rPr>
        <w:t>（</w:t>
      </w:r>
      <w:r>
        <w:rPr>
          <w:rFonts w:hint="eastAsia" w:ascii="仿宋" w:eastAsia="仿宋"/>
          <w:kern w:val="44"/>
          <w:szCs w:val="30"/>
        </w:rPr>
        <w:t>四）评价指标体系</w:t>
      </w:r>
      <w:r>
        <w:tab/>
      </w:r>
      <w:r>
        <w:fldChar w:fldCharType="begin"/>
      </w:r>
      <w:r>
        <w:instrText xml:space="preserve"> PAGEREF _Toc2173 </w:instrText>
      </w:r>
      <w:r>
        <w:fldChar w:fldCharType="separate"/>
      </w:r>
      <w:r>
        <w:t>5</w:t>
      </w:r>
      <w:r>
        <w:fldChar w:fldCharType="end"/>
      </w:r>
      <w:r>
        <w:fldChar w:fldCharType="end"/>
      </w:r>
    </w:p>
    <w:p>
      <w:pPr>
        <w:pStyle w:val="9"/>
        <w:tabs>
          <w:tab w:val="right" w:leader="dot" w:pos="8786"/>
          <w:tab w:val="clear" w:pos="8850"/>
        </w:tabs>
      </w:pPr>
      <w:r>
        <w:fldChar w:fldCharType="begin"/>
      </w:r>
      <w:r>
        <w:instrText xml:space="preserve"> HYPERLINK \l "_Toc2030" </w:instrText>
      </w:r>
      <w:r>
        <w:fldChar w:fldCharType="separate"/>
      </w:r>
      <w:r>
        <w:rPr>
          <w:rFonts w:hint="eastAsia" w:ascii="仿宋" w:eastAsia="仿宋" w:cs="仿宋"/>
          <w:kern w:val="0"/>
          <w:szCs w:val="30"/>
        </w:rPr>
        <w:t>（五）评价样本确定情况</w:t>
      </w:r>
      <w:r>
        <w:tab/>
      </w:r>
      <w:r>
        <w:fldChar w:fldCharType="begin"/>
      </w:r>
      <w:r>
        <w:instrText xml:space="preserve"> PAGEREF _Toc2030 </w:instrText>
      </w:r>
      <w:r>
        <w:fldChar w:fldCharType="separate"/>
      </w:r>
      <w:r>
        <w:t>5</w:t>
      </w:r>
      <w:r>
        <w:fldChar w:fldCharType="end"/>
      </w:r>
      <w:r>
        <w:fldChar w:fldCharType="end"/>
      </w:r>
    </w:p>
    <w:p>
      <w:pPr>
        <w:pStyle w:val="9"/>
        <w:tabs>
          <w:tab w:val="right" w:leader="dot" w:pos="8786"/>
          <w:tab w:val="clear" w:pos="8850"/>
        </w:tabs>
      </w:pPr>
      <w:r>
        <w:fldChar w:fldCharType="begin"/>
      </w:r>
      <w:r>
        <w:instrText xml:space="preserve"> HYPERLINK \l "_Toc16980" </w:instrText>
      </w:r>
      <w:r>
        <w:fldChar w:fldCharType="separate"/>
      </w:r>
      <w:r>
        <w:rPr>
          <w:rFonts w:hint="eastAsia" w:ascii="仿宋" w:eastAsia="仿宋" w:cs="仿宋"/>
          <w:bCs/>
          <w:szCs w:val="30"/>
        </w:rPr>
        <w:t>（六）绩效评价工作过程</w:t>
      </w:r>
      <w:r>
        <w:tab/>
      </w:r>
      <w:r>
        <w:fldChar w:fldCharType="begin"/>
      </w:r>
      <w:r>
        <w:instrText xml:space="preserve"> PAGEREF _Toc16980 </w:instrText>
      </w:r>
      <w:r>
        <w:fldChar w:fldCharType="separate"/>
      </w:r>
      <w:r>
        <w:t>6</w:t>
      </w:r>
      <w:r>
        <w:fldChar w:fldCharType="end"/>
      </w:r>
      <w:r>
        <w:fldChar w:fldCharType="end"/>
      </w:r>
    </w:p>
    <w:p>
      <w:pPr>
        <w:pStyle w:val="9"/>
        <w:tabs>
          <w:tab w:val="right" w:leader="dot" w:pos="8786"/>
          <w:tab w:val="clear" w:pos="8850"/>
        </w:tabs>
      </w:pPr>
      <w:r>
        <w:fldChar w:fldCharType="begin"/>
      </w:r>
      <w:r>
        <w:instrText xml:space="preserve"> HYPERLINK \l "_Toc22051" </w:instrText>
      </w:r>
      <w:r>
        <w:fldChar w:fldCharType="separate"/>
      </w:r>
      <w:r>
        <w:rPr>
          <w:rFonts w:hint="eastAsia" w:ascii="黑体" w:hAnsi="黑体" w:eastAsia="黑体" w:cs="黑体"/>
        </w:rPr>
        <w:t>三、绩效评价指标分析情况</w:t>
      </w:r>
      <w:r>
        <w:tab/>
      </w:r>
      <w:r>
        <w:fldChar w:fldCharType="begin"/>
      </w:r>
      <w:r>
        <w:instrText xml:space="preserve"> PAGEREF _Toc22051 </w:instrText>
      </w:r>
      <w:r>
        <w:fldChar w:fldCharType="separate"/>
      </w:r>
      <w:r>
        <w:t>6</w:t>
      </w:r>
      <w:r>
        <w:fldChar w:fldCharType="end"/>
      </w:r>
      <w:r>
        <w:fldChar w:fldCharType="end"/>
      </w:r>
    </w:p>
    <w:p>
      <w:pPr>
        <w:pStyle w:val="9"/>
        <w:tabs>
          <w:tab w:val="right" w:leader="dot" w:pos="8786"/>
          <w:tab w:val="clear" w:pos="8850"/>
        </w:tabs>
      </w:pPr>
      <w:r>
        <w:fldChar w:fldCharType="begin"/>
      </w:r>
      <w:r>
        <w:instrText xml:space="preserve"> HYPERLINK \l "_Toc18972" </w:instrText>
      </w:r>
      <w:r>
        <w:fldChar w:fldCharType="separate"/>
      </w:r>
      <w:r>
        <w:rPr>
          <w:rFonts w:hint="eastAsia" w:ascii="仿宋" w:eastAsia="仿宋"/>
          <w:szCs w:val="30"/>
        </w:rPr>
        <w:t>（一）项目指标情况分析</w:t>
      </w:r>
      <w:r>
        <w:tab/>
      </w:r>
      <w:r>
        <w:fldChar w:fldCharType="begin"/>
      </w:r>
      <w:r>
        <w:instrText xml:space="preserve"> PAGEREF _Toc18972 </w:instrText>
      </w:r>
      <w:r>
        <w:fldChar w:fldCharType="separate"/>
      </w:r>
      <w:r>
        <w:t>7</w:t>
      </w:r>
      <w:r>
        <w:fldChar w:fldCharType="end"/>
      </w:r>
      <w:r>
        <w:fldChar w:fldCharType="end"/>
      </w:r>
    </w:p>
    <w:p>
      <w:pPr>
        <w:pStyle w:val="9"/>
        <w:tabs>
          <w:tab w:val="right" w:leader="dot" w:pos="8786"/>
          <w:tab w:val="clear" w:pos="8850"/>
        </w:tabs>
      </w:pPr>
      <w:r>
        <w:fldChar w:fldCharType="begin"/>
      </w:r>
      <w:r>
        <w:instrText xml:space="preserve"> HYPERLINK \l "_Toc13999" </w:instrText>
      </w:r>
      <w:r>
        <w:fldChar w:fldCharType="separate"/>
      </w:r>
      <w:r>
        <w:rPr>
          <w:rFonts w:hint="eastAsia" w:ascii="仿宋" w:eastAsia="仿宋" w:cs="仿宋"/>
          <w:szCs w:val="30"/>
        </w:rPr>
        <w:t>（二）项目资金情况分析</w:t>
      </w:r>
      <w:r>
        <w:tab/>
      </w:r>
      <w:r>
        <w:fldChar w:fldCharType="begin"/>
      </w:r>
      <w:r>
        <w:instrText xml:space="preserve"> PAGEREF _Toc13999 </w:instrText>
      </w:r>
      <w:r>
        <w:fldChar w:fldCharType="separate"/>
      </w:r>
      <w:r>
        <w:t>7</w:t>
      </w:r>
      <w:r>
        <w:fldChar w:fldCharType="end"/>
      </w:r>
      <w:r>
        <w:fldChar w:fldCharType="end"/>
      </w:r>
    </w:p>
    <w:p>
      <w:pPr>
        <w:pStyle w:val="9"/>
        <w:tabs>
          <w:tab w:val="right" w:leader="dot" w:pos="8786"/>
          <w:tab w:val="clear" w:pos="8850"/>
        </w:tabs>
      </w:pPr>
      <w:r>
        <w:fldChar w:fldCharType="begin"/>
      </w:r>
      <w:r>
        <w:instrText xml:space="preserve"> HYPERLINK \l "_Toc21356" </w:instrText>
      </w:r>
      <w:r>
        <w:fldChar w:fldCharType="separate"/>
      </w:r>
      <w:r>
        <w:rPr>
          <w:rFonts w:hint="eastAsia" w:ascii="仿宋" w:eastAsia="仿宋" w:cs="仿宋"/>
          <w:szCs w:val="30"/>
        </w:rPr>
        <w:t>（三）项目实施情况分析</w:t>
      </w:r>
      <w:r>
        <w:tab/>
      </w:r>
      <w:r>
        <w:fldChar w:fldCharType="begin"/>
      </w:r>
      <w:r>
        <w:instrText xml:space="preserve"> PAGEREF _Toc21356 </w:instrText>
      </w:r>
      <w:r>
        <w:fldChar w:fldCharType="separate"/>
      </w:r>
      <w:r>
        <w:t>9</w:t>
      </w:r>
      <w:r>
        <w:fldChar w:fldCharType="end"/>
      </w:r>
      <w:r>
        <w:fldChar w:fldCharType="end"/>
      </w:r>
    </w:p>
    <w:p>
      <w:pPr>
        <w:pStyle w:val="9"/>
        <w:tabs>
          <w:tab w:val="right" w:leader="dot" w:pos="8786"/>
          <w:tab w:val="clear" w:pos="8850"/>
        </w:tabs>
      </w:pPr>
      <w:r>
        <w:fldChar w:fldCharType="begin"/>
      </w:r>
      <w:r>
        <w:instrText xml:space="preserve"> HYPERLINK \l "_Toc25092" </w:instrText>
      </w:r>
      <w:r>
        <w:fldChar w:fldCharType="separate"/>
      </w:r>
      <w:r>
        <w:rPr>
          <w:rFonts w:hint="eastAsia" w:ascii="仿宋" w:eastAsia="仿宋" w:cs="仿宋"/>
          <w:szCs w:val="30"/>
        </w:rPr>
        <w:t>（</w:t>
      </w:r>
      <w:r>
        <w:rPr>
          <w:rFonts w:hint="eastAsia" w:ascii="仿宋" w:eastAsia="仿宋" w:cs="仿宋"/>
          <w:szCs w:val="30"/>
          <w:lang w:eastAsia="zh-CN"/>
        </w:rPr>
        <w:t>四</w:t>
      </w:r>
      <w:r>
        <w:rPr>
          <w:rFonts w:hint="eastAsia" w:ascii="仿宋" w:eastAsia="仿宋" w:cs="仿宋"/>
          <w:szCs w:val="30"/>
        </w:rPr>
        <w:t>）项目绩效情况分析</w:t>
      </w:r>
      <w:r>
        <w:tab/>
      </w:r>
      <w:r>
        <w:fldChar w:fldCharType="begin"/>
      </w:r>
      <w:r>
        <w:instrText xml:space="preserve"> PAGEREF _Toc25092 </w:instrText>
      </w:r>
      <w:r>
        <w:fldChar w:fldCharType="separate"/>
      </w:r>
      <w:r>
        <w:t>11</w:t>
      </w:r>
      <w:r>
        <w:fldChar w:fldCharType="end"/>
      </w:r>
      <w:r>
        <w:fldChar w:fldCharType="end"/>
      </w:r>
    </w:p>
    <w:p>
      <w:pPr>
        <w:pStyle w:val="9"/>
        <w:tabs>
          <w:tab w:val="right" w:leader="dot" w:pos="8786"/>
          <w:tab w:val="clear" w:pos="8850"/>
        </w:tabs>
      </w:pPr>
      <w:r>
        <w:fldChar w:fldCharType="begin"/>
      </w:r>
      <w:r>
        <w:instrText xml:space="preserve"> HYPERLINK \l "_Toc9020" </w:instrText>
      </w:r>
      <w:r>
        <w:fldChar w:fldCharType="separate"/>
      </w:r>
      <w:r>
        <w:rPr>
          <w:rFonts w:hint="eastAsia" w:ascii="黑体" w:hAnsi="黑体" w:eastAsia="黑体" w:cs="黑体"/>
          <w:bCs/>
          <w:kern w:val="44"/>
          <w:szCs w:val="32"/>
        </w:rPr>
        <w:t>四、项目绩效管理情况</w:t>
      </w:r>
      <w:r>
        <w:tab/>
      </w:r>
      <w:r>
        <w:fldChar w:fldCharType="begin"/>
      </w:r>
      <w:r>
        <w:instrText xml:space="preserve"> PAGEREF _Toc9020 </w:instrText>
      </w:r>
      <w:r>
        <w:fldChar w:fldCharType="separate"/>
      </w:r>
      <w:r>
        <w:t>14</w:t>
      </w:r>
      <w:r>
        <w:fldChar w:fldCharType="end"/>
      </w:r>
      <w:r>
        <w:fldChar w:fldCharType="end"/>
      </w:r>
    </w:p>
    <w:p>
      <w:pPr>
        <w:pStyle w:val="9"/>
        <w:tabs>
          <w:tab w:val="right" w:leader="dot" w:pos="8786"/>
          <w:tab w:val="clear" w:pos="8850"/>
        </w:tabs>
      </w:pPr>
      <w:r>
        <w:fldChar w:fldCharType="begin"/>
      </w:r>
      <w:r>
        <w:instrText xml:space="preserve"> HYPERLINK \l "_Toc1606" </w:instrText>
      </w:r>
      <w:r>
        <w:fldChar w:fldCharType="separate"/>
      </w:r>
      <w:r>
        <w:rPr>
          <w:rFonts w:hint="eastAsia" w:ascii="黑体" w:hAnsi="黑体" w:eastAsia="黑体" w:cs="黑体"/>
          <w:bCs/>
          <w:kern w:val="44"/>
          <w:szCs w:val="44"/>
        </w:rPr>
        <w:t>五、评价结论</w:t>
      </w:r>
      <w:r>
        <w:tab/>
      </w:r>
      <w:r>
        <w:fldChar w:fldCharType="begin"/>
      </w:r>
      <w:r>
        <w:instrText xml:space="preserve"> PAGEREF _Toc1606 </w:instrText>
      </w:r>
      <w:r>
        <w:fldChar w:fldCharType="separate"/>
      </w:r>
      <w:r>
        <w:t>14</w:t>
      </w:r>
      <w:r>
        <w:fldChar w:fldCharType="end"/>
      </w:r>
      <w:r>
        <w:fldChar w:fldCharType="end"/>
      </w:r>
    </w:p>
    <w:p>
      <w:pPr>
        <w:pStyle w:val="9"/>
        <w:tabs>
          <w:tab w:val="right" w:leader="dot" w:pos="8786"/>
          <w:tab w:val="clear" w:pos="8850"/>
        </w:tabs>
      </w:pPr>
      <w:r>
        <w:fldChar w:fldCharType="begin"/>
      </w:r>
      <w:r>
        <w:instrText xml:space="preserve"> HYPERLINK \l "_Toc24581" </w:instrText>
      </w:r>
      <w:r>
        <w:fldChar w:fldCharType="separate"/>
      </w:r>
      <w:r>
        <w:rPr>
          <w:rFonts w:hint="eastAsia" w:ascii="黑体" w:hAnsi="黑体" w:eastAsia="黑体" w:cs="黑体"/>
        </w:rPr>
        <w:t>六、值得关注的问题</w:t>
      </w:r>
      <w:r>
        <w:tab/>
      </w:r>
      <w:r>
        <w:fldChar w:fldCharType="begin"/>
      </w:r>
      <w:r>
        <w:instrText xml:space="preserve"> PAGEREF _Toc24581 </w:instrText>
      </w:r>
      <w:r>
        <w:fldChar w:fldCharType="separate"/>
      </w:r>
      <w:r>
        <w:t>15</w:t>
      </w:r>
      <w:r>
        <w:fldChar w:fldCharType="end"/>
      </w:r>
      <w:r>
        <w:fldChar w:fldCharType="end"/>
      </w:r>
    </w:p>
    <w:p>
      <w:pPr>
        <w:pStyle w:val="9"/>
        <w:tabs>
          <w:tab w:val="right" w:leader="dot" w:pos="8786"/>
          <w:tab w:val="clear" w:pos="8850"/>
        </w:tabs>
      </w:pPr>
      <w:r>
        <w:fldChar w:fldCharType="begin"/>
      </w:r>
      <w:r>
        <w:instrText xml:space="preserve"> HYPERLINK \l "_Toc9570" </w:instrText>
      </w:r>
      <w:r>
        <w:fldChar w:fldCharType="separate"/>
      </w:r>
      <w:r>
        <w:rPr>
          <w:rFonts w:hint="eastAsia" w:ascii="黑体" w:hAnsi="黑体" w:eastAsia="黑体" w:cs="黑体"/>
        </w:rPr>
        <w:t>七、主要建议</w:t>
      </w:r>
      <w:r>
        <w:tab/>
      </w:r>
      <w:r>
        <w:fldChar w:fldCharType="begin"/>
      </w:r>
      <w:r>
        <w:instrText xml:space="preserve"> PAGEREF _Toc9570 </w:instrText>
      </w:r>
      <w:r>
        <w:fldChar w:fldCharType="separate"/>
      </w:r>
      <w:r>
        <w:t>16</w:t>
      </w:r>
      <w:r>
        <w:fldChar w:fldCharType="end"/>
      </w:r>
      <w:r>
        <w:fldChar w:fldCharType="end"/>
      </w:r>
    </w:p>
    <w:p>
      <w:pPr>
        <w:spacing w:line="360" w:lineRule="auto"/>
        <w:rPr>
          <w:rFonts w:ascii="仿宋" w:hAnsi="仿宋" w:eastAsia="仿宋"/>
        </w:rPr>
      </w:pPr>
      <w:r>
        <w:rPr>
          <w:rFonts w:hint="eastAsia" w:ascii="仿宋" w:hAnsi="仿宋" w:eastAsia="仿宋"/>
        </w:rPr>
        <w:fldChar w:fldCharType="end"/>
      </w:r>
      <w:bookmarkStart w:id="1" w:name="_Toc447578737"/>
    </w:p>
    <w:bookmarkEnd w:id="1"/>
    <w:p>
      <w:pPr>
        <w:jc w:val="center"/>
      </w:pPr>
    </w:p>
    <w:p>
      <w:pPr>
        <w:spacing w:line="360" w:lineRule="auto"/>
        <w:jc w:val="center"/>
        <w:rPr>
          <w:rFonts w:ascii="仿宋" w:hAnsi="仿宋" w:eastAsia="仿宋" w:cs="仿宋"/>
          <w:sz w:val="36"/>
          <w:szCs w:val="36"/>
        </w:rPr>
        <w:sectPr>
          <w:footerReference r:id="rId9" w:type="first"/>
          <w:footerReference r:id="rId8" w:type="default"/>
          <w:footnotePr>
            <w:numFmt w:val="decimalEnclosedCircleChinese"/>
          </w:footnotePr>
          <w:pgSz w:w="11906" w:h="16838"/>
          <w:pgMar w:top="1418" w:right="1418" w:bottom="1417" w:left="1418" w:header="1021" w:footer="1021" w:gutter="284"/>
          <w:pgNumType w:start="0"/>
          <w:cols w:space="720" w:num="1"/>
          <w:titlePg/>
          <w:docGrid w:linePitch="312" w:charSpace="0"/>
        </w:sectPr>
      </w:pPr>
    </w:p>
    <w:p>
      <w:pPr>
        <w:spacing w:afterLines="50"/>
        <w:jc w:val="center"/>
        <w:rPr>
          <w:rFonts w:ascii="仿宋" w:hAnsi="仿宋" w:eastAsia="仿宋" w:cs="仿宋"/>
          <w:b/>
          <w:bCs/>
          <w:spacing w:val="-20"/>
          <w:sz w:val="36"/>
          <w:szCs w:val="36"/>
        </w:rPr>
      </w:pPr>
      <w:r>
        <w:rPr>
          <w:rFonts w:hint="eastAsia" w:ascii="仿宋" w:hAnsi="仿宋" w:eastAsia="仿宋" w:cs="仿宋"/>
          <w:b/>
          <w:bCs/>
          <w:spacing w:val="-20"/>
          <w:sz w:val="36"/>
          <w:szCs w:val="36"/>
        </w:rPr>
        <w:t>巫溪县2019年涉农整合资金特色产业发展项目</w:t>
      </w:r>
    </w:p>
    <w:p>
      <w:pPr>
        <w:jc w:val="center"/>
        <w:rPr>
          <w:rFonts w:ascii="仿宋" w:hAnsi="仿宋" w:eastAsia="仿宋" w:cs="仿宋"/>
          <w:b/>
          <w:spacing w:val="-10"/>
          <w:sz w:val="48"/>
          <w:szCs w:val="48"/>
        </w:rPr>
      </w:pPr>
      <w:r>
        <w:rPr>
          <w:rFonts w:hint="eastAsia" w:ascii="仿宋" w:hAnsi="仿宋" w:eastAsia="仿宋" w:cs="仿宋"/>
          <w:b/>
          <w:spacing w:val="-10"/>
          <w:sz w:val="48"/>
          <w:szCs w:val="48"/>
        </w:rPr>
        <w:t>绩效评价报告</w:t>
      </w:r>
    </w:p>
    <w:p>
      <w:pPr>
        <w:spacing w:beforeLines="50" w:afterLines="50"/>
        <w:jc w:val="center"/>
        <w:outlineLvl w:val="0"/>
        <w:rPr>
          <w:rFonts w:ascii="仿宋" w:hAnsi="仿宋" w:eastAsia="仿宋"/>
          <w:b/>
          <w:sz w:val="28"/>
          <w:szCs w:val="28"/>
        </w:rPr>
      </w:pPr>
      <w:bookmarkStart w:id="2" w:name="_Toc8082_WPSOffice_Level1"/>
      <w:bookmarkStart w:id="3" w:name="_Toc2838"/>
      <w:bookmarkStart w:id="4" w:name="_Toc12020_WPSOffice_Level2"/>
      <w:bookmarkStart w:id="5" w:name="_Toc13040_WPSOffice_Level2"/>
      <w:bookmarkStart w:id="6" w:name="_Toc31035"/>
      <w:r>
        <w:rPr>
          <w:rFonts w:hint="eastAsia" w:ascii="仿宋" w:hAnsi="仿宋" w:eastAsia="仿宋"/>
          <w:b/>
          <w:sz w:val="28"/>
          <w:szCs w:val="28"/>
        </w:rPr>
        <w:t>重通会所咨</w:t>
      </w:r>
      <w:r>
        <w:rPr>
          <w:rFonts w:hint="eastAsia" w:ascii="仿宋" w:hAnsi="仿宋" w:eastAsia="仿宋"/>
          <w:b/>
          <w:sz w:val="28"/>
          <w:szCs w:val="28"/>
          <w:lang w:eastAsia="zh-CN"/>
        </w:rPr>
        <w:t>〔2020〕</w:t>
      </w:r>
      <w:r>
        <w:rPr>
          <w:rFonts w:hint="eastAsia" w:ascii="仿宋" w:hAnsi="仿宋" w:eastAsia="仿宋"/>
          <w:b/>
          <w:sz w:val="28"/>
          <w:szCs w:val="28"/>
        </w:rPr>
        <w:t>056号</w:t>
      </w:r>
      <w:bookmarkEnd w:id="2"/>
      <w:bookmarkEnd w:id="3"/>
      <w:bookmarkEnd w:id="4"/>
      <w:bookmarkEnd w:id="5"/>
      <w:bookmarkEnd w:id="6"/>
    </w:p>
    <w:p>
      <w:pPr>
        <w:spacing w:line="600" w:lineRule="exact"/>
        <w:ind w:firstLine="600" w:firstLineChars="200"/>
        <w:rPr>
          <w:rFonts w:ascii="仿宋" w:hAnsi="仿宋" w:eastAsia="仿宋" w:cs="仿宋"/>
          <w:szCs w:val="30"/>
        </w:rPr>
      </w:pPr>
      <w:bookmarkStart w:id="7" w:name="_Toc313640953"/>
      <w:r>
        <w:rPr>
          <w:rFonts w:hint="eastAsia" w:ascii="仿宋" w:hAnsi="仿宋" w:eastAsia="仿宋" w:cs="仿宋"/>
          <w:szCs w:val="30"/>
        </w:rPr>
        <w:t>为加强财政资金管理，提高资金使用效益，根据《中共中央国务院关于全面实施预算绩效管理的意见》（中发〔2018〕34号）、《中共巫溪县委巫溪县人民政府关于全面实施预算绩效管理的实施意见》（巫溪委发〔2019〕27号）精神，重庆市巫溪县财政局（以下简称“县财政局”）为保障2019年重点项目和部门整体支出绩效评价工作的顺利开展，委托重庆通冠会计师事务所组织成立了绩效评价工作组，对巫溪县2019年涉农整合资金特色产业发展项目（以下简称“产业发展项目”）进行了绩效评价。现将评价情况报告如下：</w:t>
      </w:r>
    </w:p>
    <w:bookmarkEnd w:id="7"/>
    <w:p>
      <w:pPr>
        <w:numPr>
          <w:ilvl w:val="0"/>
          <w:numId w:val="1"/>
        </w:numPr>
        <w:spacing w:beforeLines="50" w:afterLines="50" w:line="600" w:lineRule="exact"/>
        <w:ind w:firstLine="643" w:firstLineChars="200"/>
        <w:outlineLvl w:val="0"/>
        <w:rPr>
          <w:rFonts w:ascii="黑体" w:hAnsi="黑体" w:eastAsia="黑体" w:cs="黑体"/>
          <w:b/>
          <w:bCs/>
          <w:sz w:val="32"/>
          <w:szCs w:val="32"/>
        </w:rPr>
      </w:pPr>
      <w:bookmarkStart w:id="8" w:name="_Toc15151"/>
      <w:bookmarkStart w:id="9" w:name="_Toc4347"/>
      <w:r>
        <w:rPr>
          <w:rFonts w:hint="eastAsia" w:ascii="黑体" w:hAnsi="黑体" w:eastAsia="黑体" w:cs="黑体"/>
          <w:b/>
          <w:bCs/>
          <w:sz w:val="32"/>
          <w:szCs w:val="32"/>
        </w:rPr>
        <w:t>项目总体概况</w:t>
      </w:r>
      <w:bookmarkEnd w:id="8"/>
      <w:bookmarkEnd w:id="9"/>
      <w:bookmarkStart w:id="10" w:name="_Toc30767"/>
    </w:p>
    <w:p>
      <w:pPr>
        <w:spacing w:beforeLines="50" w:afterLines="50" w:line="600" w:lineRule="exact"/>
        <w:ind w:firstLine="602" w:firstLineChars="200"/>
        <w:outlineLvl w:val="0"/>
        <w:rPr>
          <w:rFonts w:ascii="仿宋" w:hAnsi="仿宋" w:eastAsia="仿宋" w:cs="仿宋"/>
          <w:b/>
          <w:bCs/>
          <w:szCs w:val="32"/>
        </w:rPr>
      </w:pPr>
      <w:bookmarkStart w:id="11" w:name="_Toc25497"/>
      <w:bookmarkStart w:id="12" w:name="_Toc9636"/>
      <w:r>
        <w:rPr>
          <w:rFonts w:hint="eastAsia" w:ascii="仿宋" w:hAnsi="仿宋" w:eastAsia="仿宋" w:cs="仿宋"/>
          <w:b/>
          <w:bCs/>
          <w:szCs w:val="32"/>
        </w:rPr>
        <w:t>（一）项目基本情况</w:t>
      </w:r>
      <w:bookmarkEnd w:id="10"/>
      <w:bookmarkEnd w:id="11"/>
      <w:bookmarkEnd w:id="12"/>
      <w:bookmarkStart w:id="13" w:name="_Toc15107"/>
    </w:p>
    <w:p>
      <w:pPr>
        <w:spacing w:line="600" w:lineRule="exact"/>
        <w:ind w:firstLine="600" w:firstLineChars="200"/>
        <w:rPr>
          <w:rFonts w:ascii="仿宋" w:hAnsi="仿宋" w:eastAsia="仿宋" w:cs="仿宋"/>
          <w:b/>
          <w:bCs/>
          <w:szCs w:val="30"/>
        </w:rPr>
      </w:pPr>
      <w:r>
        <w:rPr>
          <w:rFonts w:hint="eastAsia" w:ascii="仿宋" w:hAnsi="仿宋" w:eastAsia="仿宋" w:cs="仿宋"/>
          <w:szCs w:val="30"/>
        </w:rPr>
        <w:t>为深入贯彻习近平总书记扶贫讲话精神，强化脱贫攻坚产业扶贫支撑体系，激发贫困人口脱贫致富积极性和主动性，大力推动产业扶贫工作，巫溪县开展特色产业发展项目，促进完成</w:t>
      </w:r>
      <w:r>
        <w:rPr>
          <w:rFonts w:hint="eastAsia" w:ascii="仿宋" w:hAnsi="仿宋" w:eastAsia="仿宋" w:cs="仿宋"/>
          <w:szCs w:val="30"/>
          <w:shd w:val="clear" w:color="auto" w:fill="FFFFFF"/>
        </w:rPr>
        <w:t>脱贫攻坚产业发展目标，实现乡村振兴。</w:t>
      </w:r>
      <w:r>
        <w:rPr>
          <w:rFonts w:hint="eastAsia" w:ascii="仿宋" w:hAnsi="仿宋" w:eastAsia="仿宋" w:cs="仿宋"/>
          <w:szCs w:val="30"/>
        </w:rPr>
        <w:t>产业发展项目由巫溪县农业农村委员会（以下简称“县农业农村委”）负责组织实施，项目包含6个子项目，涉及6个乡镇及村委会。截至2020年8月12日，2个子项目已完成建设并通过乡镇验收小组验收，4个子项目未完成（其中2个建设进度滞后；2个已完成基础建设，目前处于管护阶段）。具体情况详见下表：</w:t>
      </w:r>
    </w:p>
    <w:p>
      <w:pPr>
        <w:spacing w:beforeLines="50" w:afterLines="50" w:line="600" w:lineRule="exact"/>
        <w:ind w:firstLine="602" w:firstLineChars="200"/>
        <w:jc w:val="center"/>
      </w:pPr>
      <w:r>
        <w:rPr>
          <w:rFonts w:hint="eastAsia" w:ascii="仿宋" w:hAnsi="仿宋" w:eastAsia="仿宋" w:cs="仿宋"/>
          <w:b/>
          <w:bCs/>
          <w:szCs w:val="30"/>
        </w:rPr>
        <w:t>产业发展项目情况表</w:t>
      </w:r>
    </w:p>
    <w:tbl>
      <w:tblPr>
        <w:tblStyle w:val="12"/>
        <w:tblW w:w="8549" w:type="dxa"/>
        <w:jc w:val="center"/>
        <w:tblLayout w:type="fixed"/>
        <w:tblCellMar>
          <w:top w:w="0" w:type="dxa"/>
          <w:left w:w="0" w:type="dxa"/>
          <w:bottom w:w="0" w:type="dxa"/>
          <w:right w:w="0" w:type="dxa"/>
        </w:tblCellMar>
      </w:tblPr>
      <w:tblGrid>
        <w:gridCol w:w="505"/>
        <w:gridCol w:w="1444"/>
        <w:gridCol w:w="930"/>
        <w:gridCol w:w="2835"/>
        <w:gridCol w:w="1141"/>
        <w:gridCol w:w="689"/>
        <w:gridCol w:w="1005"/>
      </w:tblGrid>
      <w:tr>
        <w:trPr>
          <w:trHeight w:val="510" w:hRule="atLeast"/>
          <w:tblHeader/>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序号</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项目名称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b/>
                <w:color w:val="000000"/>
                <w:kern w:val="0"/>
                <w:sz w:val="24"/>
              </w:rPr>
            </w:pPr>
            <w:r>
              <w:rPr>
                <w:rFonts w:hint="eastAsia" w:ascii="仿宋" w:hAnsi="仿宋" w:eastAsia="仿宋" w:cs="仿宋"/>
                <w:b/>
                <w:color w:val="000000"/>
                <w:kern w:val="0"/>
                <w:sz w:val="24"/>
              </w:rPr>
              <w:t>项目实</w:t>
            </w:r>
          </w:p>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施单位</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建设内容</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建设期限</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b/>
                <w:color w:val="000000"/>
                <w:kern w:val="0"/>
                <w:sz w:val="24"/>
              </w:rPr>
            </w:pPr>
            <w:r>
              <w:rPr>
                <w:rFonts w:hint="eastAsia" w:ascii="仿宋" w:hAnsi="仿宋" w:eastAsia="仿宋" w:cs="仿宋"/>
                <w:b/>
                <w:color w:val="000000"/>
                <w:kern w:val="0"/>
                <w:sz w:val="24"/>
              </w:rPr>
              <w:t>完成</w:t>
            </w:r>
          </w:p>
          <w:p>
            <w:pPr>
              <w:widowControl/>
              <w:jc w:val="center"/>
              <w:textAlignment w:val="center"/>
              <w:rPr>
                <w:rFonts w:ascii="仿宋" w:hAnsi="仿宋" w:eastAsia="仿宋" w:cs="仿宋"/>
                <w:b/>
                <w:color w:val="000000"/>
                <w:kern w:val="0"/>
                <w:sz w:val="24"/>
              </w:rPr>
            </w:pPr>
            <w:r>
              <w:rPr>
                <w:rFonts w:hint="eastAsia" w:ascii="仿宋" w:hAnsi="仿宋" w:eastAsia="仿宋" w:cs="仿宋"/>
                <w:b/>
                <w:color w:val="000000"/>
                <w:kern w:val="0"/>
                <w:sz w:val="24"/>
              </w:rPr>
              <w:t>状态</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b/>
                <w:color w:val="000000"/>
                <w:kern w:val="0"/>
                <w:sz w:val="24"/>
              </w:rPr>
            </w:pPr>
            <w:r>
              <w:rPr>
                <w:rFonts w:hint="eastAsia" w:ascii="仿宋" w:hAnsi="仿宋" w:eastAsia="仿宋" w:cs="仿宋"/>
                <w:b/>
                <w:color w:val="000000"/>
                <w:kern w:val="0"/>
                <w:sz w:val="24"/>
              </w:rPr>
              <w:t>备注</w:t>
            </w:r>
          </w:p>
        </w:tc>
      </w:tr>
      <w:tr>
        <w:tblPrEx>
          <w:tblCellMar>
            <w:top w:w="0" w:type="dxa"/>
            <w:left w:w="0" w:type="dxa"/>
            <w:bottom w:w="0" w:type="dxa"/>
            <w:right w:w="0" w:type="dxa"/>
          </w:tblCellMar>
        </w:tblPrEx>
        <w:trPr>
          <w:trHeight w:val="108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巫溪县峰灵镇谭家村2019年度特色产业发展项目</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峰灵镇</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谭家村</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建设“冬桃”基地1100亩，主要建设内容为：果园管护，安装围栏，智能监控；建设耕作便道、排灌沟渠等基础设施设备。</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2019-2020</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未完成</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建设进</w:t>
            </w:r>
          </w:p>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度滞后</w:t>
            </w:r>
          </w:p>
        </w:tc>
      </w:tr>
      <w:tr>
        <w:tblPrEx>
          <w:tblCellMar>
            <w:top w:w="0" w:type="dxa"/>
            <w:left w:w="0" w:type="dxa"/>
            <w:bottom w:w="0" w:type="dxa"/>
            <w:right w:w="0" w:type="dxa"/>
          </w:tblCellMar>
        </w:tblPrEx>
        <w:trPr>
          <w:trHeight w:val="1131"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巫溪县城厢镇酒泉村2019年度特色产业发展项目</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城厢镇</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酒泉村</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全村种植李树3000余亩（其中村集体经济组织种植李树300亩）园内的基础设施、李子园病虫害统防统治、农业生产设备设施和田间管护。</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2019-2020</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未完成</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目前处于管护阶段</w:t>
            </w:r>
          </w:p>
        </w:tc>
      </w:tr>
      <w:tr>
        <w:tblPrEx>
          <w:tblCellMar>
            <w:top w:w="0" w:type="dxa"/>
            <w:left w:w="0" w:type="dxa"/>
            <w:bottom w:w="0" w:type="dxa"/>
            <w:right w:w="0" w:type="dxa"/>
          </w:tblCellMar>
        </w:tblPrEx>
        <w:trPr>
          <w:trHeight w:val="108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巫溪县红池坝镇茶山村2019年度特色产业发展项目</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红池坝镇茶山村</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建设450亩标准化青脆李产业园，主要建设内容为产品、分选包装车间、保鲜库、物联网控制中心、围栏等。</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2019-2020</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已完成</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1141"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巫溪县凤凰镇石龙村2019年度特色产业发展项目</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凤凰镇</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石龙村</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柑橘补植补造和新实施以及管护共1700亩。</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2019-2020</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未完成</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目前处于管护阶段</w:t>
            </w:r>
          </w:p>
        </w:tc>
      </w:tr>
      <w:tr>
        <w:tblPrEx>
          <w:tblCellMar>
            <w:top w:w="0" w:type="dxa"/>
            <w:left w:w="0" w:type="dxa"/>
            <w:bottom w:w="0" w:type="dxa"/>
            <w:right w:w="0" w:type="dxa"/>
          </w:tblCellMar>
        </w:tblPrEx>
        <w:trPr>
          <w:trHeight w:val="81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巫溪县古路镇观峰村2019年度特色产业发展项目</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古路镇</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观峰村</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入股乡情文化艺术传播有限公司100万，每年按6%固定分红，增加集体经济收入6万元。</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2019-2020</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已完成</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540"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6</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巫溪县文峰镇2019年度特色产业发展项目</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文峰镇</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银峰村</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饲养黄牛80头，种植饲料300亩，养殖中蜂500箱。</w:t>
            </w:r>
          </w:p>
        </w:tc>
        <w:tc>
          <w:tcPr>
            <w:tcW w:w="114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2019-2020</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未完成</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建设进</w:t>
            </w:r>
          </w:p>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度滞后</w:t>
            </w:r>
          </w:p>
        </w:tc>
      </w:tr>
    </w:tbl>
    <w:p>
      <w:pPr>
        <w:spacing w:beforeLines="50" w:afterLines="50" w:line="600" w:lineRule="exact"/>
        <w:ind w:firstLine="602" w:firstLineChars="200"/>
        <w:outlineLvl w:val="0"/>
        <w:rPr>
          <w:rFonts w:ascii="仿宋" w:hAnsi="仿宋" w:eastAsia="仿宋" w:cs="仿宋"/>
          <w:b/>
          <w:bCs/>
          <w:szCs w:val="32"/>
        </w:rPr>
      </w:pPr>
      <w:bookmarkStart w:id="14" w:name="_Toc25693"/>
      <w:bookmarkStart w:id="15" w:name="_Toc24248"/>
      <w:r>
        <w:rPr>
          <w:rFonts w:hint="eastAsia" w:ascii="仿宋" w:hAnsi="仿宋" w:eastAsia="仿宋" w:cs="仿宋"/>
          <w:b/>
          <w:bCs/>
          <w:szCs w:val="32"/>
        </w:rPr>
        <w:t>（二）项目资金情况</w:t>
      </w:r>
      <w:bookmarkEnd w:id="13"/>
      <w:bookmarkEnd w:id="14"/>
      <w:bookmarkEnd w:id="15"/>
    </w:p>
    <w:p>
      <w:pPr>
        <w:spacing w:line="600" w:lineRule="exact"/>
        <w:ind w:firstLine="600" w:firstLineChars="200"/>
        <w:rPr>
          <w:rFonts w:ascii="仿宋" w:hAnsi="仿宋" w:eastAsia="仿宋" w:cs="仿宋"/>
          <w:szCs w:val="30"/>
        </w:rPr>
      </w:pPr>
      <w:r>
        <w:rPr>
          <w:rFonts w:hint="eastAsia" w:ascii="仿宋" w:hAnsi="仿宋" w:eastAsia="仿宋" w:cs="仿宋"/>
          <w:szCs w:val="30"/>
        </w:rPr>
        <w:t>根据《巫溪县农业农村委员会关于下达2019年涉农整合资金特色产业发展项目建设任务的通知》（巫溪农发〔2019〕115号），2019年项目预算资金为1,000.00万元，均为市级财政资金，截至2019年底，项目实际到位1,000.00万元，实际支出699.77万元。</w:t>
      </w:r>
    </w:p>
    <w:p>
      <w:pPr>
        <w:spacing w:line="600" w:lineRule="exact"/>
        <w:ind w:firstLine="600" w:firstLineChars="200"/>
      </w:pPr>
      <w:r>
        <w:rPr>
          <w:rFonts w:hint="eastAsia" w:ascii="仿宋" w:hAnsi="仿宋" w:eastAsia="仿宋" w:cs="仿宋"/>
          <w:szCs w:val="30"/>
        </w:rPr>
        <w:t>根据现场查看财务支出情况，截至2020年8月12日，各乡镇及村委会资金实际使用情况如下：</w:t>
      </w:r>
    </w:p>
    <w:p>
      <w:pPr>
        <w:adjustRightInd w:val="0"/>
        <w:snapToGrid w:val="0"/>
        <w:spacing w:beforeLines="50"/>
        <w:ind w:firstLine="602" w:firstLineChars="200"/>
        <w:jc w:val="center"/>
        <w:rPr>
          <w:rFonts w:ascii="仿宋" w:hAnsi="仿宋" w:eastAsia="仿宋"/>
          <w:b/>
          <w:bCs/>
          <w:szCs w:val="30"/>
        </w:rPr>
      </w:pPr>
      <w:r>
        <w:rPr>
          <w:rFonts w:hint="eastAsia" w:ascii="仿宋" w:hAnsi="仿宋" w:eastAsia="仿宋"/>
          <w:b/>
          <w:bCs/>
          <w:szCs w:val="30"/>
        </w:rPr>
        <w:t>产业发展项目资金使用明细表</w:t>
      </w:r>
    </w:p>
    <w:p>
      <w:pPr>
        <w:adjustRightInd w:val="0"/>
        <w:snapToGrid w:val="0"/>
        <w:ind w:firstLine="600" w:firstLineChars="200"/>
        <w:jc w:val="center"/>
        <w:rPr>
          <w:rFonts w:ascii="仿宋" w:hAnsi="仿宋" w:eastAsia="仿宋"/>
          <w:szCs w:val="30"/>
        </w:rPr>
      </w:pPr>
      <w:r>
        <w:rPr>
          <w:rFonts w:hint="eastAsia" w:ascii="仿宋" w:hAnsi="仿宋" w:eastAsia="仿宋"/>
          <w:szCs w:val="30"/>
        </w:rPr>
        <w:t>单位：万元</w:t>
      </w:r>
    </w:p>
    <w:tbl>
      <w:tblPr>
        <w:tblStyle w:val="12"/>
        <w:tblW w:w="8619" w:type="dxa"/>
        <w:jc w:val="center"/>
        <w:tblLayout w:type="fixed"/>
        <w:tblCellMar>
          <w:top w:w="0" w:type="dxa"/>
          <w:left w:w="0" w:type="dxa"/>
          <w:bottom w:w="0" w:type="dxa"/>
          <w:right w:w="0" w:type="dxa"/>
        </w:tblCellMar>
      </w:tblPr>
      <w:tblGrid>
        <w:gridCol w:w="5425"/>
        <w:gridCol w:w="1717"/>
        <w:gridCol w:w="1477"/>
      </w:tblGrid>
      <w:tr>
        <w:tblPrEx>
          <w:tblCellMar>
            <w:top w:w="0" w:type="dxa"/>
            <w:left w:w="0" w:type="dxa"/>
            <w:bottom w:w="0" w:type="dxa"/>
            <w:right w:w="0" w:type="dxa"/>
          </w:tblCellMar>
        </w:tblPrEx>
        <w:trPr>
          <w:trHeight w:val="458" w:hRule="atLeast"/>
          <w:jc w:val="center"/>
        </w:trPr>
        <w:tc>
          <w:tcPr>
            <w:tcW w:w="5425"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widowControl/>
              <w:jc w:val="center"/>
              <w:textAlignment w:val="center"/>
              <w:rPr>
                <w:rFonts w:ascii="等线" w:hAnsi="等线" w:eastAsia="等线" w:cs="等线"/>
                <w:color w:val="000000"/>
                <w:sz w:val="24"/>
              </w:rPr>
            </w:pPr>
            <w:r>
              <w:rPr>
                <w:rFonts w:hint="eastAsia" w:ascii="仿宋" w:hAnsi="仿宋" w:eastAsia="仿宋" w:cs="宋体"/>
                <w:b/>
                <w:bCs/>
                <w:color w:val="000000"/>
                <w:kern w:val="0"/>
                <w:sz w:val="24"/>
              </w:rPr>
              <w:t>项  目</w:t>
            </w:r>
          </w:p>
        </w:tc>
        <w:tc>
          <w:tcPr>
            <w:tcW w:w="1717" w:type="dxa"/>
            <w:tcBorders>
              <w:top w:val="single" w:color="auto" w:sz="4" w:space="0"/>
              <w:left w:val="nil"/>
              <w:bottom w:val="single" w:color="auto" w:sz="4" w:space="0"/>
              <w:right w:val="single" w:color="auto"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宋体"/>
                <w:b/>
                <w:bCs/>
                <w:color w:val="000000"/>
                <w:kern w:val="0"/>
                <w:sz w:val="24"/>
              </w:rPr>
            </w:pPr>
            <w:r>
              <w:rPr>
                <w:rFonts w:hint="eastAsia" w:ascii="仿宋" w:hAnsi="仿宋" w:eastAsia="仿宋" w:cs="宋体"/>
                <w:b/>
                <w:bCs/>
                <w:color w:val="000000"/>
                <w:kern w:val="0"/>
                <w:sz w:val="24"/>
              </w:rPr>
              <w:t>项目资金</w:t>
            </w:r>
          </w:p>
        </w:tc>
        <w:tc>
          <w:tcPr>
            <w:tcW w:w="1477" w:type="dxa"/>
            <w:tcBorders>
              <w:top w:val="single" w:color="auto" w:sz="4" w:space="0"/>
              <w:left w:val="nil"/>
              <w:bottom w:val="single" w:color="auto" w:sz="4" w:space="0"/>
              <w:right w:val="single" w:color="auto"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宋体"/>
                <w:b/>
                <w:bCs/>
                <w:color w:val="000000"/>
                <w:kern w:val="0"/>
                <w:sz w:val="24"/>
              </w:rPr>
            </w:pPr>
            <w:r>
              <w:rPr>
                <w:rFonts w:hint="eastAsia" w:ascii="仿宋" w:hAnsi="仿宋" w:eastAsia="仿宋" w:cs="宋体"/>
                <w:b/>
                <w:bCs/>
                <w:color w:val="000000"/>
                <w:kern w:val="0"/>
                <w:sz w:val="24"/>
              </w:rPr>
              <w:t>项目实际支出</w:t>
            </w:r>
          </w:p>
        </w:tc>
      </w:tr>
      <w:tr>
        <w:tblPrEx>
          <w:tblCellMar>
            <w:top w:w="0" w:type="dxa"/>
            <w:left w:w="0" w:type="dxa"/>
            <w:bottom w:w="0" w:type="dxa"/>
            <w:right w:w="0" w:type="dxa"/>
          </w:tblCellMar>
        </w:tblPrEx>
        <w:trPr>
          <w:trHeight w:val="458" w:hRule="atLeast"/>
          <w:jc w:val="center"/>
        </w:trPr>
        <w:tc>
          <w:tcPr>
            <w:tcW w:w="5425" w:type="dxa"/>
            <w:tcBorders>
              <w:top w:val="nil"/>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巫溪县峰灵镇谭家村2019年度特色产业发展项目</w:t>
            </w:r>
          </w:p>
        </w:tc>
        <w:tc>
          <w:tcPr>
            <w:tcW w:w="1717" w:type="dxa"/>
            <w:tcBorders>
              <w:top w:val="nil"/>
              <w:left w:val="nil"/>
              <w:bottom w:val="single" w:color="auto" w:sz="4" w:space="0"/>
              <w:right w:val="single" w:color="auto" w:sz="4" w:space="0"/>
            </w:tcBorders>
            <w:shd w:val="clear" w:color="auto" w:fill="auto"/>
            <w:noWrap/>
            <w:tcMar>
              <w:top w:w="8" w:type="dxa"/>
              <w:left w:w="8" w:type="dxa"/>
              <w:right w:w="8" w:type="dxa"/>
            </w:tcMar>
            <w:vAlign w:val="center"/>
          </w:tcPr>
          <w:p>
            <w:pPr>
              <w:widowControl/>
              <w:jc w:val="right"/>
              <w:rPr>
                <w:rFonts w:ascii="仿宋" w:hAnsi="仿宋" w:eastAsia="仿宋" w:cs="宋体"/>
                <w:color w:val="000000"/>
                <w:kern w:val="0"/>
                <w:sz w:val="24"/>
              </w:rPr>
            </w:pPr>
            <w:r>
              <w:rPr>
                <w:rFonts w:hint="eastAsia" w:ascii="仿宋" w:hAnsi="仿宋" w:eastAsia="仿宋" w:cs="宋体"/>
                <w:color w:val="000000"/>
                <w:kern w:val="0"/>
                <w:sz w:val="24"/>
              </w:rPr>
              <w:t xml:space="preserve"> 500.00 </w:t>
            </w:r>
          </w:p>
        </w:tc>
        <w:tc>
          <w:tcPr>
            <w:tcW w:w="1477" w:type="dxa"/>
            <w:tcBorders>
              <w:top w:val="nil"/>
              <w:left w:val="nil"/>
              <w:bottom w:val="single" w:color="auto" w:sz="4" w:space="0"/>
              <w:right w:val="single" w:color="auto" w:sz="4" w:space="0"/>
            </w:tcBorders>
            <w:shd w:val="clear" w:color="auto" w:fill="auto"/>
            <w:noWrap/>
            <w:tcMar>
              <w:top w:w="8" w:type="dxa"/>
              <w:left w:w="8" w:type="dxa"/>
              <w:right w:w="8" w:type="dxa"/>
            </w:tcMar>
            <w:vAlign w:val="center"/>
          </w:tcPr>
          <w:p>
            <w:pPr>
              <w:widowControl/>
              <w:jc w:val="right"/>
              <w:rPr>
                <w:rFonts w:ascii="仿宋" w:hAnsi="仿宋" w:eastAsia="仿宋" w:cs="宋体"/>
                <w:color w:val="000000"/>
                <w:kern w:val="0"/>
                <w:sz w:val="24"/>
              </w:rPr>
            </w:pPr>
            <w:r>
              <w:rPr>
                <w:rFonts w:hint="eastAsia" w:ascii="仿宋" w:hAnsi="仿宋" w:eastAsia="仿宋" w:cs="宋体"/>
                <w:color w:val="000000"/>
                <w:kern w:val="0"/>
                <w:sz w:val="24"/>
              </w:rPr>
              <w:t xml:space="preserve"> 330.00 </w:t>
            </w:r>
          </w:p>
        </w:tc>
      </w:tr>
      <w:tr>
        <w:tblPrEx>
          <w:tblCellMar>
            <w:top w:w="0" w:type="dxa"/>
            <w:left w:w="0" w:type="dxa"/>
            <w:bottom w:w="0" w:type="dxa"/>
            <w:right w:w="0" w:type="dxa"/>
          </w:tblCellMar>
        </w:tblPrEx>
        <w:trPr>
          <w:trHeight w:val="458" w:hRule="atLeast"/>
          <w:jc w:val="center"/>
        </w:trPr>
        <w:tc>
          <w:tcPr>
            <w:tcW w:w="5425" w:type="dxa"/>
            <w:tcBorders>
              <w:top w:val="nil"/>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巫溪县城厢镇酒泉村2019年度特色产业发展项目</w:t>
            </w:r>
          </w:p>
        </w:tc>
        <w:tc>
          <w:tcPr>
            <w:tcW w:w="1717" w:type="dxa"/>
            <w:tcBorders>
              <w:top w:val="nil"/>
              <w:left w:val="nil"/>
              <w:bottom w:val="single" w:color="auto" w:sz="4" w:space="0"/>
              <w:right w:val="single" w:color="auto" w:sz="4" w:space="0"/>
            </w:tcBorders>
            <w:shd w:val="clear" w:color="auto" w:fill="auto"/>
            <w:noWrap/>
            <w:tcMar>
              <w:top w:w="8" w:type="dxa"/>
              <w:left w:w="8" w:type="dxa"/>
              <w:right w:w="8" w:type="dxa"/>
            </w:tcMar>
            <w:vAlign w:val="center"/>
          </w:tcPr>
          <w:p>
            <w:pPr>
              <w:widowControl/>
              <w:jc w:val="right"/>
              <w:rPr>
                <w:rFonts w:ascii="仿宋" w:hAnsi="仿宋" w:eastAsia="仿宋" w:cs="宋体"/>
                <w:color w:val="000000"/>
                <w:kern w:val="0"/>
                <w:sz w:val="24"/>
              </w:rPr>
            </w:pPr>
            <w:r>
              <w:rPr>
                <w:rFonts w:hint="eastAsia" w:ascii="仿宋" w:hAnsi="仿宋" w:eastAsia="仿宋" w:cs="宋体"/>
                <w:color w:val="000000"/>
                <w:kern w:val="0"/>
                <w:sz w:val="24"/>
              </w:rPr>
              <w:t xml:space="preserve"> 100.00 </w:t>
            </w:r>
          </w:p>
        </w:tc>
        <w:tc>
          <w:tcPr>
            <w:tcW w:w="1477" w:type="dxa"/>
            <w:tcBorders>
              <w:top w:val="nil"/>
              <w:left w:val="nil"/>
              <w:bottom w:val="single" w:color="auto" w:sz="4" w:space="0"/>
              <w:right w:val="single" w:color="auto" w:sz="4" w:space="0"/>
            </w:tcBorders>
            <w:shd w:val="clear" w:color="auto" w:fill="auto"/>
            <w:noWrap/>
            <w:tcMar>
              <w:top w:w="8" w:type="dxa"/>
              <w:left w:w="8" w:type="dxa"/>
              <w:right w:w="8" w:type="dxa"/>
            </w:tcMar>
            <w:vAlign w:val="center"/>
          </w:tcPr>
          <w:p>
            <w:pPr>
              <w:widowControl/>
              <w:jc w:val="right"/>
              <w:rPr>
                <w:rFonts w:ascii="仿宋" w:hAnsi="仿宋" w:eastAsia="仿宋" w:cs="宋体"/>
                <w:color w:val="000000"/>
                <w:kern w:val="0"/>
                <w:sz w:val="24"/>
              </w:rPr>
            </w:pPr>
            <w:r>
              <w:rPr>
                <w:rFonts w:hint="eastAsia" w:ascii="仿宋" w:hAnsi="仿宋" w:eastAsia="仿宋" w:cs="宋体"/>
                <w:color w:val="000000"/>
                <w:kern w:val="0"/>
                <w:sz w:val="24"/>
              </w:rPr>
              <w:t xml:space="preserve"> 41.11 </w:t>
            </w:r>
          </w:p>
        </w:tc>
      </w:tr>
      <w:tr>
        <w:tblPrEx>
          <w:tblCellMar>
            <w:top w:w="0" w:type="dxa"/>
            <w:left w:w="0" w:type="dxa"/>
            <w:bottom w:w="0" w:type="dxa"/>
            <w:right w:w="0" w:type="dxa"/>
          </w:tblCellMar>
        </w:tblPrEx>
        <w:trPr>
          <w:trHeight w:val="458" w:hRule="atLeast"/>
          <w:jc w:val="center"/>
        </w:trPr>
        <w:tc>
          <w:tcPr>
            <w:tcW w:w="5425" w:type="dxa"/>
            <w:tcBorders>
              <w:top w:val="nil"/>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巫溪县红池坝镇茶山村2019年度特色产业发展项目</w:t>
            </w:r>
          </w:p>
        </w:tc>
        <w:tc>
          <w:tcPr>
            <w:tcW w:w="1717" w:type="dxa"/>
            <w:tcBorders>
              <w:top w:val="nil"/>
              <w:left w:val="nil"/>
              <w:bottom w:val="single" w:color="auto" w:sz="4" w:space="0"/>
              <w:right w:val="single" w:color="auto" w:sz="4" w:space="0"/>
            </w:tcBorders>
            <w:shd w:val="clear" w:color="auto" w:fill="auto"/>
            <w:noWrap/>
            <w:tcMar>
              <w:top w:w="8" w:type="dxa"/>
              <w:left w:w="8" w:type="dxa"/>
              <w:right w:w="8" w:type="dxa"/>
            </w:tcMar>
            <w:vAlign w:val="center"/>
          </w:tcPr>
          <w:p>
            <w:pPr>
              <w:widowControl/>
              <w:jc w:val="right"/>
              <w:rPr>
                <w:rFonts w:ascii="仿宋" w:hAnsi="仿宋" w:eastAsia="仿宋" w:cs="宋体"/>
                <w:color w:val="000000"/>
                <w:kern w:val="0"/>
                <w:sz w:val="24"/>
              </w:rPr>
            </w:pPr>
            <w:r>
              <w:rPr>
                <w:rFonts w:hint="eastAsia" w:ascii="仿宋" w:hAnsi="仿宋" w:eastAsia="仿宋" w:cs="宋体"/>
                <w:color w:val="000000"/>
                <w:kern w:val="0"/>
                <w:sz w:val="24"/>
              </w:rPr>
              <w:t xml:space="preserve"> 100.00 </w:t>
            </w:r>
          </w:p>
        </w:tc>
        <w:tc>
          <w:tcPr>
            <w:tcW w:w="1477" w:type="dxa"/>
            <w:tcBorders>
              <w:top w:val="nil"/>
              <w:left w:val="nil"/>
              <w:bottom w:val="single" w:color="auto" w:sz="4" w:space="0"/>
              <w:right w:val="single" w:color="auto" w:sz="4" w:space="0"/>
            </w:tcBorders>
            <w:shd w:val="clear" w:color="auto" w:fill="auto"/>
            <w:noWrap/>
            <w:tcMar>
              <w:top w:w="8" w:type="dxa"/>
              <w:left w:w="8" w:type="dxa"/>
              <w:right w:w="8" w:type="dxa"/>
            </w:tcMar>
            <w:vAlign w:val="center"/>
          </w:tcPr>
          <w:p>
            <w:pPr>
              <w:widowControl/>
              <w:jc w:val="right"/>
              <w:rPr>
                <w:rFonts w:ascii="仿宋" w:hAnsi="仿宋" w:eastAsia="仿宋" w:cs="宋体"/>
                <w:color w:val="000000"/>
                <w:kern w:val="0"/>
                <w:sz w:val="24"/>
              </w:rPr>
            </w:pPr>
            <w:r>
              <w:rPr>
                <w:rFonts w:hint="eastAsia" w:ascii="仿宋" w:hAnsi="仿宋" w:eastAsia="仿宋" w:cs="宋体"/>
                <w:color w:val="000000"/>
                <w:kern w:val="0"/>
                <w:sz w:val="24"/>
              </w:rPr>
              <w:t xml:space="preserve"> 65.50 </w:t>
            </w:r>
          </w:p>
        </w:tc>
      </w:tr>
      <w:tr>
        <w:tblPrEx>
          <w:tblCellMar>
            <w:top w:w="0" w:type="dxa"/>
            <w:left w:w="0" w:type="dxa"/>
            <w:bottom w:w="0" w:type="dxa"/>
            <w:right w:w="0" w:type="dxa"/>
          </w:tblCellMar>
        </w:tblPrEx>
        <w:trPr>
          <w:trHeight w:val="458" w:hRule="atLeast"/>
          <w:jc w:val="center"/>
        </w:trPr>
        <w:tc>
          <w:tcPr>
            <w:tcW w:w="5425" w:type="dxa"/>
            <w:tcBorders>
              <w:top w:val="nil"/>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巫溪县凤凰镇石龙村2019年度特色产业发展项目</w:t>
            </w:r>
          </w:p>
        </w:tc>
        <w:tc>
          <w:tcPr>
            <w:tcW w:w="1717" w:type="dxa"/>
            <w:tcBorders>
              <w:top w:val="nil"/>
              <w:left w:val="nil"/>
              <w:bottom w:val="single" w:color="auto" w:sz="4" w:space="0"/>
              <w:right w:val="single" w:color="auto" w:sz="4" w:space="0"/>
            </w:tcBorders>
            <w:shd w:val="clear" w:color="auto" w:fill="auto"/>
            <w:noWrap/>
            <w:tcMar>
              <w:top w:w="8" w:type="dxa"/>
              <w:left w:w="8" w:type="dxa"/>
              <w:right w:w="8" w:type="dxa"/>
            </w:tcMar>
            <w:vAlign w:val="center"/>
          </w:tcPr>
          <w:p>
            <w:pPr>
              <w:widowControl/>
              <w:jc w:val="right"/>
              <w:rPr>
                <w:rFonts w:ascii="仿宋" w:hAnsi="仿宋" w:eastAsia="仿宋" w:cs="宋体"/>
                <w:color w:val="000000"/>
                <w:kern w:val="0"/>
                <w:sz w:val="24"/>
              </w:rPr>
            </w:pPr>
            <w:r>
              <w:rPr>
                <w:rFonts w:hint="eastAsia" w:ascii="仿宋" w:hAnsi="仿宋" w:eastAsia="仿宋" w:cs="宋体"/>
                <w:color w:val="000000"/>
                <w:kern w:val="0"/>
                <w:sz w:val="24"/>
              </w:rPr>
              <w:t xml:space="preserve"> 100.00 </w:t>
            </w:r>
          </w:p>
        </w:tc>
        <w:tc>
          <w:tcPr>
            <w:tcW w:w="1477" w:type="dxa"/>
            <w:tcBorders>
              <w:top w:val="nil"/>
              <w:left w:val="nil"/>
              <w:bottom w:val="single" w:color="auto" w:sz="4" w:space="0"/>
              <w:right w:val="single" w:color="auto" w:sz="4" w:space="0"/>
            </w:tcBorders>
            <w:shd w:val="clear" w:color="auto" w:fill="auto"/>
            <w:noWrap/>
            <w:tcMar>
              <w:top w:w="8" w:type="dxa"/>
              <w:left w:w="8" w:type="dxa"/>
              <w:right w:w="8" w:type="dxa"/>
            </w:tcMar>
            <w:vAlign w:val="center"/>
          </w:tcPr>
          <w:p>
            <w:pPr>
              <w:widowControl/>
              <w:jc w:val="right"/>
              <w:rPr>
                <w:rFonts w:ascii="仿宋" w:hAnsi="仿宋" w:eastAsia="仿宋" w:cs="宋体"/>
                <w:color w:val="000000"/>
                <w:kern w:val="0"/>
                <w:sz w:val="24"/>
              </w:rPr>
            </w:pPr>
            <w:r>
              <w:rPr>
                <w:rFonts w:hint="eastAsia" w:ascii="仿宋" w:hAnsi="仿宋" w:eastAsia="仿宋" w:cs="宋体"/>
                <w:color w:val="000000"/>
                <w:kern w:val="0"/>
                <w:sz w:val="24"/>
              </w:rPr>
              <w:t xml:space="preserve"> 63.16 </w:t>
            </w:r>
          </w:p>
        </w:tc>
      </w:tr>
      <w:tr>
        <w:tblPrEx>
          <w:tblCellMar>
            <w:top w:w="0" w:type="dxa"/>
            <w:left w:w="0" w:type="dxa"/>
            <w:bottom w:w="0" w:type="dxa"/>
            <w:right w:w="0" w:type="dxa"/>
          </w:tblCellMar>
        </w:tblPrEx>
        <w:trPr>
          <w:trHeight w:val="458" w:hRule="atLeast"/>
          <w:jc w:val="center"/>
        </w:trPr>
        <w:tc>
          <w:tcPr>
            <w:tcW w:w="5425" w:type="dxa"/>
            <w:tcBorders>
              <w:top w:val="nil"/>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巫溪县古路镇观峰村2019年度特色产业发展项目</w:t>
            </w:r>
          </w:p>
        </w:tc>
        <w:tc>
          <w:tcPr>
            <w:tcW w:w="1717" w:type="dxa"/>
            <w:tcBorders>
              <w:top w:val="nil"/>
              <w:left w:val="nil"/>
              <w:bottom w:val="single" w:color="auto" w:sz="4" w:space="0"/>
              <w:right w:val="single" w:color="auto" w:sz="4" w:space="0"/>
            </w:tcBorders>
            <w:shd w:val="clear" w:color="auto" w:fill="auto"/>
            <w:noWrap/>
            <w:tcMar>
              <w:top w:w="8" w:type="dxa"/>
              <w:left w:w="8" w:type="dxa"/>
              <w:right w:w="8" w:type="dxa"/>
            </w:tcMar>
            <w:vAlign w:val="center"/>
          </w:tcPr>
          <w:p>
            <w:pPr>
              <w:widowControl/>
              <w:jc w:val="right"/>
              <w:rPr>
                <w:rFonts w:ascii="仿宋" w:hAnsi="仿宋" w:eastAsia="仿宋" w:cs="宋体"/>
                <w:color w:val="000000"/>
                <w:kern w:val="0"/>
                <w:sz w:val="24"/>
              </w:rPr>
            </w:pPr>
            <w:r>
              <w:rPr>
                <w:rFonts w:hint="eastAsia" w:ascii="仿宋" w:hAnsi="仿宋" w:eastAsia="仿宋" w:cs="宋体"/>
                <w:color w:val="000000"/>
                <w:kern w:val="0"/>
                <w:sz w:val="24"/>
              </w:rPr>
              <w:t xml:space="preserve"> 100.00 </w:t>
            </w:r>
          </w:p>
        </w:tc>
        <w:tc>
          <w:tcPr>
            <w:tcW w:w="1477" w:type="dxa"/>
            <w:tcBorders>
              <w:top w:val="nil"/>
              <w:left w:val="nil"/>
              <w:bottom w:val="single" w:color="auto" w:sz="4" w:space="0"/>
              <w:right w:val="single" w:color="auto" w:sz="4" w:space="0"/>
            </w:tcBorders>
            <w:shd w:val="clear" w:color="auto" w:fill="auto"/>
            <w:noWrap/>
            <w:tcMar>
              <w:top w:w="8" w:type="dxa"/>
              <w:left w:w="8" w:type="dxa"/>
              <w:right w:w="8" w:type="dxa"/>
            </w:tcMar>
            <w:vAlign w:val="center"/>
          </w:tcPr>
          <w:p>
            <w:pPr>
              <w:widowControl/>
              <w:jc w:val="right"/>
              <w:rPr>
                <w:rFonts w:ascii="仿宋" w:hAnsi="仿宋" w:eastAsia="仿宋" w:cs="宋体"/>
                <w:color w:val="000000"/>
                <w:kern w:val="0"/>
                <w:sz w:val="24"/>
              </w:rPr>
            </w:pPr>
            <w:r>
              <w:rPr>
                <w:rFonts w:hint="eastAsia" w:ascii="仿宋" w:hAnsi="仿宋" w:eastAsia="仿宋" w:cs="宋体"/>
                <w:color w:val="000000"/>
                <w:kern w:val="0"/>
                <w:sz w:val="24"/>
              </w:rPr>
              <w:t xml:space="preserve"> 100.00 </w:t>
            </w:r>
          </w:p>
        </w:tc>
      </w:tr>
      <w:tr>
        <w:tblPrEx>
          <w:tblCellMar>
            <w:top w:w="0" w:type="dxa"/>
            <w:left w:w="0" w:type="dxa"/>
            <w:bottom w:w="0" w:type="dxa"/>
            <w:right w:w="0" w:type="dxa"/>
          </w:tblCellMar>
        </w:tblPrEx>
        <w:trPr>
          <w:trHeight w:val="458" w:hRule="atLeast"/>
          <w:jc w:val="center"/>
        </w:trPr>
        <w:tc>
          <w:tcPr>
            <w:tcW w:w="5425" w:type="dxa"/>
            <w:tcBorders>
              <w:top w:val="nil"/>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巫溪县文峰镇2019年度特色产业发展项目</w:t>
            </w:r>
          </w:p>
        </w:tc>
        <w:tc>
          <w:tcPr>
            <w:tcW w:w="1717" w:type="dxa"/>
            <w:tcBorders>
              <w:top w:val="nil"/>
              <w:left w:val="nil"/>
              <w:bottom w:val="single" w:color="auto" w:sz="4" w:space="0"/>
              <w:right w:val="single" w:color="auto" w:sz="4" w:space="0"/>
            </w:tcBorders>
            <w:shd w:val="clear" w:color="auto" w:fill="auto"/>
            <w:noWrap/>
            <w:tcMar>
              <w:top w:w="8" w:type="dxa"/>
              <w:left w:w="8" w:type="dxa"/>
              <w:right w:w="8" w:type="dxa"/>
            </w:tcMar>
            <w:vAlign w:val="center"/>
          </w:tcPr>
          <w:p>
            <w:pPr>
              <w:widowControl/>
              <w:jc w:val="right"/>
              <w:rPr>
                <w:rFonts w:ascii="仿宋" w:hAnsi="仿宋" w:eastAsia="仿宋" w:cs="宋体"/>
                <w:color w:val="000000"/>
                <w:kern w:val="0"/>
                <w:sz w:val="24"/>
              </w:rPr>
            </w:pPr>
            <w:r>
              <w:rPr>
                <w:rFonts w:hint="eastAsia" w:ascii="仿宋" w:hAnsi="仿宋" w:eastAsia="仿宋" w:cs="宋体"/>
                <w:color w:val="000000"/>
                <w:kern w:val="0"/>
                <w:sz w:val="24"/>
              </w:rPr>
              <w:t xml:space="preserve"> 100.00 </w:t>
            </w:r>
          </w:p>
        </w:tc>
        <w:tc>
          <w:tcPr>
            <w:tcW w:w="1477" w:type="dxa"/>
            <w:tcBorders>
              <w:top w:val="nil"/>
              <w:left w:val="nil"/>
              <w:bottom w:val="single" w:color="auto" w:sz="4" w:space="0"/>
              <w:right w:val="single" w:color="auto" w:sz="4" w:space="0"/>
            </w:tcBorders>
            <w:shd w:val="clear" w:color="auto" w:fill="auto"/>
            <w:noWrap/>
            <w:tcMar>
              <w:top w:w="8" w:type="dxa"/>
              <w:left w:w="8" w:type="dxa"/>
              <w:right w:w="8" w:type="dxa"/>
            </w:tcMar>
            <w:vAlign w:val="center"/>
          </w:tcPr>
          <w:p>
            <w:pPr>
              <w:widowControl/>
              <w:jc w:val="right"/>
              <w:rPr>
                <w:rFonts w:ascii="仿宋" w:hAnsi="仿宋" w:eastAsia="仿宋" w:cs="宋体"/>
                <w:color w:val="000000"/>
                <w:kern w:val="0"/>
                <w:sz w:val="24"/>
              </w:rPr>
            </w:pPr>
            <w:r>
              <w:rPr>
                <w:rFonts w:hint="eastAsia" w:ascii="仿宋" w:hAnsi="仿宋" w:eastAsia="仿宋" w:cs="宋体"/>
                <w:color w:val="000000"/>
                <w:kern w:val="0"/>
                <w:sz w:val="24"/>
              </w:rPr>
              <w:t xml:space="preserve"> 100.00 </w:t>
            </w:r>
          </w:p>
        </w:tc>
      </w:tr>
      <w:tr>
        <w:tblPrEx>
          <w:tblCellMar>
            <w:top w:w="0" w:type="dxa"/>
            <w:left w:w="0" w:type="dxa"/>
            <w:bottom w:w="0" w:type="dxa"/>
            <w:right w:w="0" w:type="dxa"/>
          </w:tblCellMar>
        </w:tblPrEx>
        <w:trPr>
          <w:trHeight w:val="482" w:hRule="atLeast"/>
          <w:jc w:val="center"/>
        </w:trPr>
        <w:tc>
          <w:tcPr>
            <w:tcW w:w="5425" w:type="dxa"/>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合计</w:t>
            </w:r>
          </w:p>
        </w:tc>
        <w:tc>
          <w:tcPr>
            <w:tcW w:w="1717" w:type="dxa"/>
            <w:tcBorders>
              <w:top w:val="single" w:color="auto" w:sz="4" w:space="0"/>
              <w:left w:val="nil"/>
              <w:bottom w:val="single" w:color="auto" w:sz="4" w:space="0"/>
              <w:right w:val="single" w:color="auto" w:sz="4" w:space="0"/>
            </w:tcBorders>
            <w:shd w:val="clear" w:color="auto" w:fill="auto"/>
            <w:noWrap/>
            <w:tcMar>
              <w:top w:w="8" w:type="dxa"/>
              <w:left w:w="8" w:type="dxa"/>
              <w:right w:w="8" w:type="dxa"/>
            </w:tcMar>
            <w:vAlign w:val="center"/>
          </w:tcPr>
          <w:p>
            <w:pPr>
              <w:widowControl/>
              <w:jc w:val="right"/>
              <w:rPr>
                <w:rFonts w:ascii="仿宋" w:hAnsi="仿宋" w:eastAsia="仿宋" w:cs="宋体"/>
                <w:b/>
                <w:bCs/>
                <w:color w:val="000000"/>
                <w:kern w:val="0"/>
                <w:sz w:val="24"/>
              </w:rPr>
            </w:pPr>
            <w:r>
              <w:rPr>
                <w:rFonts w:hint="eastAsia" w:ascii="仿宋" w:hAnsi="仿宋" w:eastAsia="仿宋" w:cs="宋体"/>
                <w:b/>
                <w:bCs/>
                <w:color w:val="000000"/>
                <w:kern w:val="0"/>
                <w:sz w:val="24"/>
              </w:rPr>
              <w:t xml:space="preserve"> 1,000.00 </w:t>
            </w:r>
          </w:p>
        </w:tc>
        <w:tc>
          <w:tcPr>
            <w:tcW w:w="1477" w:type="dxa"/>
            <w:tcBorders>
              <w:top w:val="single" w:color="auto" w:sz="4" w:space="0"/>
              <w:left w:val="nil"/>
              <w:bottom w:val="single" w:color="auto" w:sz="4" w:space="0"/>
              <w:right w:val="single" w:color="auto" w:sz="4" w:space="0"/>
            </w:tcBorders>
            <w:shd w:val="clear" w:color="auto" w:fill="auto"/>
            <w:noWrap/>
            <w:tcMar>
              <w:top w:w="8" w:type="dxa"/>
              <w:left w:w="8" w:type="dxa"/>
              <w:right w:w="8" w:type="dxa"/>
            </w:tcMar>
            <w:vAlign w:val="center"/>
          </w:tcPr>
          <w:p>
            <w:pPr>
              <w:widowControl/>
              <w:jc w:val="right"/>
              <w:rPr>
                <w:rFonts w:ascii="仿宋" w:hAnsi="仿宋" w:eastAsia="仿宋" w:cs="宋体"/>
                <w:b/>
                <w:bCs/>
                <w:color w:val="000000"/>
                <w:kern w:val="0"/>
                <w:sz w:val="24"/>
              </w:rPr>
            </w:pPr>
            <w:r>
              <w:rPr>
                <w:rFonts w:hint="eastAsia" w:ascii="仿宋" w:hAnsi="仿宋" w:eastAsia="仿宋" w:cs="宋体"/>
                <w:b/>
                <w:bCs/>
                <w:color w:val="000000"/>
                <w:kern w:val="0"/>
                <w:sz w:val="24"/>
              </w:rPr>
              <w:t xml:space="preserve"> 699.77 </w:t>
            </w:r>
          </w:p>
        </w:tc>
      </w:tr>
    </w:tbl>
    <w:p>
      <w:pPr>
        <w:pStyle w:val="25"/>
        <w:adjustRightInd w:val="0"/>
        <w:snapToGrid w:val="0"/>
        <w:spacing w:before="120" w:after="120" w:line="600" w:lineRule="exact"/>
        <w:ind w:firstLine="643" w:firstLineChars="200"/>
        <w:rPr>
          <w:rFonts w:ascii="黑体" w:hAnsi="黑体" w:eastAsia="黑体" w:cs="黑体"/>
        </w:rPr>
      </w:pPr>
      <w:bookmarkStart w:id="16" w:name="_Toc7235"/>
      <w:bookmarkStart w:id="17" w:name="_Toc4786"/>
      <w:r>
        <w:rPr>
          <w:rFonts w:hint="eastAsia" w:ascii="黑体" w:hAnsi="黑体" w:eastAsia="黑体" w:cs="黑体"/>
        </w:rPr>
        <w:t>二、绩效评价工作情况</w:t>
      </w:r>
      <w:bookmarkEnd w:id="16"/>
      <w:bookmarkEnd w:id="17"/>
    </w:p>
    <w:p>
      <w:pPr>
        <w:pStyle w:val="25"/>
        <w:spacing w:before="120" w:after="120" w:line="600" w:lineRule="exact"/>
        <w:ind w:firstLine="602" w:firstLineChars="200"/>
        <w:rPr>
          <w:rFonts w:ascii="仿宋" w:hAnsi="仿宋" w:eastAsia="仿宋"/>
          <w:sz w:val="30"/>
          <w:szCs w:val="30"/>
        </w:rPr>
      </w:pPr>
      <w:bookmarkStart w:id="18" w:name="_Toc27950"/>
      <w:bookmarkStart w:id="19" w:name="_Toc16240"/>
      <w:r>
        <w:rPr>
          <w:rFonts w:hint="eastAsia" w:ascii="仿宋" w:hAnsi="仿宋" w:eastAsia="仿宋"/>
          <w:sz w:val="30"/>
          <w:szCs w:val="30"/>
        </w:rPr>
        <w:t>（一）绩效评价依据</w:t>
      </w:r>
      <w:bookmarkEnd w:id="18"/>
      <w:bookmarkEnd w:id="19"/>
    </w:p>
    <w:p>
      <w:pPr>
        <w:spacing w:line="600" w:lineRule="exact"/>
        <w:ind w:firstLine="600" w:firstLineChars="200"/>
        <w:rPr>
          <w:rFonts w:ascii="仿宋" w:hAnsi="仿宋" w:eastAsia="仿宋" w:cs="仿宋"/>
          <w:szCs w:val="30"/>
        </w:rPr>
      </w:pPr>
      <w:r>
        <w:rPr>
          <w:rFonts w:hint="eastAsia" w:ascii="仿宋" w:hAnsi="仿宋" w:eastAsia="仿宋" w:cs="仿宋"/>
          <w:szCs w:val="30"/>
        </w:rPr>
        <w:t>1.《中共中央国务院关于全面实施预算绩效管理的意见》（中发〔2018〕34号）；</w:t>
      </w:r>
    </w:p>
    <w:p>
      <w:pPr>
        <w:spacing w:line="600" w:lineRule="exact"/>
        <w:ind w:firstLine="600" w:firstLineChars="200"/>
      </w:pPr>
      <w:r>
        <w:rPr>
          <w:rFonts w:hint="eastAsia" w:ascii="仿宋" w:hAnsi="仿宋" w:eastAsia="仿宋" w:cs="仿宋"/>
          <w:szCs w:val="30"/>
        </w:rPr>
        <w:t>2.《中共巫溪县委巫溪县人民政府关于全面实施预算绩效管理的实施意见》（巫溪委发〔2019〕27号）；</w:t>
      </w:r>
    </w:p>
    <w:p>
      <w:pPr>
        <w:spacing w:line="600" w:lineRule="exact"/>
        <w:ind w:firstLine="600" w:firstLineChars="200"/>
        <w:rPr>
          <w:rFonts w:ascii="仿宋_GB2312"/>
          <w:szCs w:val="30"/>
        </w:rPr>
      </w:pPr>
      <w:r>
        <w:rPr>
          <w:rFonts w:hint="eastAsia" w:ascii="仿宋" w:hAnsi="仿宋" w:eastAsia="仿宋" w:cs="仿宋"/>
          <w:szCs w:val="30"/>
        </w:rPr>
        <w:t>3.《巫溪县财政局关于印发巫溪县政策和项目绩效管理办法（试行）的通知》（溪财发〔2020〕53号）；</w:t>
      </w:r>
    </w:p>
    <w:p>
      <w:pPr>
        <w:spacing w:line="600" w:lineRule="exact"/>
        <w:ind w:firstLine="600" w:firstLineChars="200"/>
        <w:rPr>
          <w:rFonts w:ascii="仿宋_GB2312"/>
          <w:szCs w:val="30"/>
        </w:rPr>
      </w:pPr>
      <w:r>
        <w:rPr>
          <w:rFonts w:hint="eastAsia" w:ascii="仿宋" w:hAnsi="仿宋" w:eastAsia="仿宋" w:cs="仿宋"/>
          <w:szCs w:val="30"/>
        </w:rPr>
        <w:t>4.《巫溪县农业农村委员会关于下达2019年涉农整合资金特色产业发展项目建设任务的通知》（巫溪农发〔2019〕115号）</w:t>
      </w:r>
      <w:r>
        <w:rPr>
          <w:rFonts w:hint="eastAsia" w:ascii="仿宋_GB2312"/>
          <w:szCs w:val="30"/>
        </w:rPr>
        <w:t>；</w:t>
      </w:r>
    </w:p>
    <w:p>
      <w:pPr>
        <w:spacing w:line="600" w:lineRule="exact"/>
        <w:ind w:firstLine="600" w:firstLineChars="200"/>
        <w:rPr>
          <w:rFonts w:ascii="仿宋_GB2312"/>
          <w:szCs w:val="30"/>
        </w:rPr>
      </w:pPr>
      <w:r>
        <w:rPr>
          <w:rFonts w:hint="eastAsia" w:ascii="仿宋" w:hAnsi="仿宋" w:eastAsia="仿宋" w:cs="仿宋"/>
          <w:szCs w:val="30"/>
        </w:rPr>
        <w:t>5</w:t>
      </w:r>
      <w:r>
        <w:rPr>
          <w:rFonts w:hint="eastAsia" w:ascii="仿宋_GB2312"/>
          <w:szCs w:val="30"/>
        </w:rPr>
        <w:t>.《</w:t>
      </w:r>
      <w:r>
        <w:rPr>
          <w:rFonts w:hint="eastAsia" w:ascii="仿宋" w:hAnsi="仿宋" w:eastAsia="仿宋" w:cs="仿宋"/>
          <w:szCs w:val="30"/>
        </w:rPr>
        <w:t>巫溪县统筹整合使用财政涉农资金管理办法》（巫溪府办发〔2019〕27号）；</w:t>
      </w:r>
    </w:p>
    <w:p>
      <w:pPr>
        <w:spacing w:line="600" w:lineRule="exact"/>
        <w:ind w:firstLine="600" w:firstLineChars="200"/>
        <w:rPr>
          <w:rFonts w:ascii="仿宋" w:hAnsi="仿宋" w:eastAsia="仿宋" w:cs="仿宋"/>
          <w:szCs w:val="30"/>
        </w:rPr>
      </w:pPr>
      <w:r>
        <w:rPr>
          <w:rFonts w:hint="eastAsia" w:ascii="仿宋" w:hAnsi="仿宋" w:eastAsia="仿宋" w:cs="仿宋"/>
          <w:szCs w:val="30"/>
        </w:rPr>
        <w:t>6.《巫溪县农业农村委员会农业项目资金管理办法》（巫溪农发〔2019〕41号）；</w:t>
      </w:r>
    </w:p>
    <w:p>
      <w:pPr>
        <w:spacing w:line="600" w:lineRule="exact"/>
        <w:ind w:firstLine="600" w:firstLineChars="200"/>
        <w:rPr>
          <w:rFonts w:ascii="仿宋" w:hAnsi="仿宋" w:eastAsia="仿宋" w:cs="仿宋"/>
          <w:szCs w:val="30"/>
        </w:rPr>
      </w:pPr>
      <w:r>
        <w:rPr>
          <w:rFonts w:hint="eastAsia" w:ascii="仿宋" w:hAnsi="仿宋" w:eastAsia="仿宋" w:cs="仿宋"/>
          <w:szCs w:val="30"/>
        </w:rPr>
        <w:t>7.《巫溪县农业农村委员会农业项目管理办法》（巫溪农发〔2020〕129号）；</w:t>
      </w:r>
    </w:p>
    <w:p>
      <w:pPr>
        <w:spacing w:line="600" w:lineRule="exact"/>
        <w:ind w:firstLine="600" w:firstLineChars="200"/>
        <w:rPr>
          <w:rFonts w:ascii="仿宋" w:hAnsi="仿宋" w:eastAsia="仿宋" w:cs="仿宋"/>
          <w:szCs w:val="30"/>
        </w:rPr>
      </w:pPr>
      <w:r>
        <w:rPr>
          <w:rFonts w:hint="eastAsia" w:ascii="仿宋" w:hAnsi="仿宋" w:eastAsia="仿宋" w:cs="仿宋"/>
          <w:szCs w:val="30"/>
        </w:rPr>
        <w:t>8.项目相关资金文件、财务资料；</w:t>
      </w:r>
    </w:p>
    <w:p>
      <w:pPr>
        <w:spacing w:line="600" w:lineRule="exact"/>
        <w:ind w:firstLine="600" w:firstLineChars="200"/>
        <w:rPr>
          <w:rFonts w:ascii="仿宋" w:hAnsi="仿宋" w:eastAsia="仿宋" w:cs="仿宋"/>
          <w:color w:val="000000"/>
        </w:rPr>
      </w:pPr>
      <w:r>
        <w:rPr>
          <w:rFonts w:hint="eastAsia" w:ascii="仿宋" w:hAnsi="仿宋" w:eastAsia="仿宋" w:cs="仿宋"/>
          <w:szCs w:val="30"/>
        </w:rPr>
        <w:t>9.其他相关依据。</w:t>
      </w:r>
    </w:p>
    <w:p>
      <w:pPr>
        <w:pStyle w:val="25"/>
        <w:spacing w:before="120" w:after="120" w:line="600" w:lineRule="exact"/>
        <w:ind w:firstLine="602" w:firstLineChars="200"/>
        <w:rPr>
          <w:rFonts w:ascii="仿宋" w:hAnsi="仿宋" w:eastAsia="仿宋"/>
          <w:sz w:val="30"/>
          <w:szCs w:val="30"/>
        </w:rPr>
      </w:pPr>
      <w:bookmarkStart w:id="20" w:name="_Toc7166"/>
      <w:bookmarkStart w:id="21" w:name="_Toc29985"/>
      <w:bookmarkStart w:id="22" w:name="_Toc18876941"/>
      <w:r>
        <w:rPr>
          <w:rFonts w:hint="eastAsia" w:ascii="仿宋" w:hAnsi="仿宋" w:eastAsia="仿宋"/>
          <w:sz w:val="30"/>
          <w:szCs w:val="30"/>
        </w:rPr>
        <w:t>（二）评价</w:t>
      </w:r>
      <w:bookmarkEnd w:id="20"/>
      <w:r>
        <w:rPr>
          <w:rFonts w:hint="eastAsia" w:ascii="仿宋" w:hAnsi="仿宋" w:eastAsia="仿宋"/>
          <w:sz w:val="30"/>
          <w:szCs w:val="30"/>
        </w:rPr>
        <w:t>主要目的、范围、内容</w:t>
      </w:r>
      <w:bookmarkEnd w:id="21"/>
    </w:p>
    <w:p>
      <w:pPr>
        <w:spacing w:beforeLines="50" w:afterLines="50" w:line="600" w:lineRule="exact"/>
        <w:ind w:firstLine="602" w:firstLineChars="200"/>
        <w:rPr>
          <w:rFonts w:ascii="仿宋" w:hAnsi="仿宋" w:eastAsia="仿宋" w:cs="仿宋"/>
          <w:szCs w:val="30"/>
        </w:rPr>
      </w:pPr>
      <w:r>
        <w:rPr>
          <w:rFonts w:hint="eastAsia" w:ascii="仿宋" w:hAnsi="仿宋" w:eastAsia="仿宋"/>
          <w:b/>
          <w:szCs w:val="30"/>
        </w:rPr>
        <w:t>1.评价主要目的</w:t>
      </w:r>
    </w:p>
    <w:p>
      <w:pPr>
        <w:spacing w:line="600" w:lineRule="exact"/>
        <w:ind w:firstLine="600" w:firstLineChars="200"/>
        <w:rPr>
          <w:rFonts w:ascii="仿宋" w:hAnsi="仿宋" w:eastAsia="仿宋"/>
          <w:szCs w:val="30"/>
        </w:rPr>
      </w:pPr>
      <w:r>
        <w:rPr>
          <w:rFonts w:hint="eastAsia" w:ascii="仿宋" w:hAnsi="仿宋" w:eastAsia="仿宋" w:cs="仿宋"/>
          <w:szCs w:val="30"/>
        </w:rPr>
        <w:t>通过对项目实施以及财政专项资金使用情况的调研和评价，客观反映项目的实施情况、财政资金使用效益，总结项目成功经验，科学研判项目实施以及资金使用过程中存在的问题和局限，为进一步提升预算管理水平、提高公共服务质量、优化公共资源配置提供决策参考，为未来类似项目专项资金安排、政策制度建设、预算绩效的推进提供必要的借鉴。</w:t>
      </w:r>
    </w:p>
    <w:p>
      <w:pPr>
        <w:spacing w:beforeLines="50" w:afterLines="50" w:line="600" w:lineRule="exact"/>
        <w:ind w:firstLine="602" w:firstLineChars="200"/>
        <w:rPr>
          <w:rFonts w:ascii="仿宋" w:hAnsi="仿宋" w:eastAsia="仿宋"/>
          <w:b/>
          <w:szCs w:val="30"/>
        </w:rPr>
      </w:pPr>
      <w:bookmarkStart w:id="23" w:name="_Toc11086"/>
      <w:bookmarkStart w:id="24" w:name="_Toc3550"/>
      <w:bookmarkStart w:id="25" w:name="_Toc4074_WPSOffice_Level2"/>
      <w:bookmarkStart w:id="26" w:name="_Toc6635"/>
      <w:r>
        <w:rPr>
          <w:rFonts w:hint="eastAsia" w:ascii="仿宋" w:hAnsi="仿宋" w:eastAsia="仿宋"/>
          <w:b/>
          <w:szCs w:val="30"/>
        </w:rPr>
        <w:t>2.评价内容</w:t>
      </w:r>
      <w:bookmarkEnd w:id="23"/>
      <w:bookmarkEnd w:id="24"/>
      <w:bookmarkEnd w:id="25"/>
      <w:bookmarkEnd w:id="26"/>
      <w:r>
        <w:rPr>
          <w:rFonts w:hint="eastAsia" w:ascii="仿宋" w:hAnsi="仿宋" w:eastAsia="仿宋"/>
          <w:b/>
          <w:szCs w:val="30"/>
        </w:rPr>
        <w:t>及范围</w:t>
      </w:r>
    </w:p>
    <w:p>
      <w:pPr>
        <w:spacing w:line="600" w:lineRule="exact"/>
        <w:ind w:firstLine="600" w:firstLineChars="200"/>
        <w:rPr>
          <w:rFonts w:ascii="仿宋" w:hAnsi="仿宋" w:eastAsia="仿宋"/>
          <w:szCs w:val="30"/>
        </w:rPr>
      </w:pPr>
      <w:r>
        <w:rPr>
          <w:rFonts w:hint="eastAsia" w:ascii="仿宋" w:hAnsi="仿宋" w:eastAsia="仿宋" w:cs="仿宋"/>
          <w:kern w:val="0"/>
          <w:szCs w:val="30"/>
        </w:rPr>
        <w:t>重点评价该项目财政资金使用的规范性、安全性和有效性及评价项目的社会效益、经济效益、可持续性。评价区间为2019</w:t>
      </w:r>
      <w:r>
        <w:rPr>
          <w:rFonts w:hint="eastAsia" w:ascii="仿宋" w:hAnsi="仿宋" w:eastAsia="仿宋" w:cs="仿宋"/>
          <w:kern w:val="44"/>
          <w:szCs w:val="30"/>
        </w:rPr>
        <w:t>年度</w:t>
      </w:r>
      <w:r>
        <w:rPr>
          <w:rFonts w:hint="eastAsia" w:ascii="仿宋" w:hAnsi="仿宋" w:eastAsia="仿宋" w:cs="仿宋"/>
          <w:kern w:val="0"/>
          <w:szCs w:val="30"/>
        </w:rPr>
        <w:t>。</w:t>
      </w:r>
    </w:p>
    <w:bookmarkEnd w:id="22"/>
    <w:p>
      <w:pPr>
        <w:pStyle w:val="25"/>
        <w:spacing w:before="120" w:after="120" w:line="600" w:lineRule="exact"/>
        <w:ind w:firstLine="602" w:firstLineChars="200"/>
        <w:rPr>
          <w:rFonts w:ascii="仿宋" w:hAnsi="仿宋" w:eastAsia="仿宋"/>
          <w:sz w:val="30"/>
          <w:szCs w:val="30"/>
        </w:rPr>
      </w:pPr>
      <w:bookmarkStart w:id="27" w:name="_Toc11746"/>
      <w:bookmarkStart w:id="28" w:name="_Toc10451"/>
      <w:bookmarkStart w:id="29" w:name="_Toc7808"/>
      <w:r>
        <w:rPr>
          <w:rFonts w:hint="eastAsia" w:ascii="仿宋" w:hAnsi="仿宋" w:eastAsia="仿宋"/>
          <w:sz w:val="30"/>
          <w:szCs w:val="30"/>
        </w:rPr>
        <w:t>（三）</w:t>
      </w:r>
      <w:bookmarkEnd w:id="27"/>
      <w:r>
        <w:rPr>
          <w:rFonts w:hint="eastAsia" w:ascii="仿宋" w:hAnsi="仿宋" w:eastAsia="仿宋" w:cs="仿宋"/>
          <w:sz w:val="30"/>
          <w:szCs w:val="30"/>
        </w:rPr>
        <w:t>评价标准及评价方法</w:t>
      </w:r>
      <w:bookmarkEnd w:id="28"/>
      <w:bookmarkEnd w:id="29"/>
    </w:p>
    <w:p>
      <w:pPr>
        <w:spacing w:line="600" w:lineRule="exact"/>
        <w:ind w:firstLine="600" w:firstLineChars="200"/>
        <w:rPr>
          <w:rFonts w:ascii="仿宋" w:hAnsi="仿宋" w:eastAsia="仿宋" w:cs="仿宋"/>
          <w:kern w:val="0"/>
          <w:szCs w:val="30"/>
        </w:rPr>
      </w:pPr>
      <w:r>
        <w:rPr>
          <w:rFonts w:hint="eastAsia" w:ascii="仿宋" w:hAnsi="仿宋" w:eastAsia="仿宋" w:cs="仿宋"/>
          <w:kern w:val="0"/>
          <w:szCs w:val="30"/>
        </w:rPr>
        <w:t>本次评价严格遵守国家法律、法规和政策规定，遵循科学规范、公正公开、绩效相关、定性与定量相结合的评价原则，采取计划标准、历史标准相结合的方式制定绩效评价指标体系及具体评价标准。本次评价方法采取现场和非现场评价相结合的方式实施，具体采用了比较法、因素分析法、公众评判法等评价方法。</w:t>
      </w:r>
    </w:p>
    <w:p>
      <w:pPr>
        <w:spacing w:line="600" w:lineRule="exact"/>
        <w:ind w:firstLine="600" w:firstLineChars="200"/>
        <w:rPr>
          <w:rFonts w:ascii="仿宋" w:hAnsi="仿宋" w:eastAsia="仿宋" w:cs="仿宋"/>
          <w:kern w:val="0"/>
          <w:szCs w:val="30"/>
        </w:rPr>
      </w:pPr>
      <w:r>
        <w:rPr>
          <w:rFonts w:hint="eastAsia" w:ascii="仿宋" w:hAnsi="仿宋" w:eastAsia="仿宋" w:cs="仿宋"/>
          <w:kern w:val="0"/>
          <w:szCs w:val="30"/>
        </w:rPr>
        <w:t>1.比较法。是指通过对绩效目标与实施效果、历史与当期情况、不同部门和地区同类支出的比较，综合分析绩效目标实现程度。</w:t>
      </w:r>
    </w:p>
    <w:p>
      <w:pPr>
        <w:spacing w:line="600" w:lineRule="exact"/>
        <w:ind w:firstLine="600" w:firstLineChars="200"/>
        <w:rPr>
          <w:rFonts w:ascii="仿宋" w:hAnsi="仿宋" w:eastAsia="仿宋" w:cs="仿宋"/>
          <w:kern w:val="0"/>
          <w:szCs w:val="30"/>
        </w:rPr>
      </w:pPr>
      <w:r>
        <w:rPr>
          <w:rFonts w:hint="eastAsia" w:ascii="仿宋" w:hAnsi="仿宋" w:eastAsia="仿宋" w:cs="仿宋"/>
          <w:kern w:val="0"/>
          <w:szCs w:val="30"/>
        </w:rPr>
        <w:t>2.因素分析法。通过综合分析影响绩效目标实现、实施效果的内外因素，评价绩效目标实现程度。</w:t>
      </w:r>
    </w:p>
    <w:p>
      <w:pPr>
        <w:spacing w:line="600" w:lineRule="exact"/>
        <w:ind w:firstLine="600" w:firstLineChars="200"/>
        <w:rPr>
          <w:rFonts w:ascii="仿宋" w:hAnsi="仿宋" w:eastAsia="仿宋" w:cs="仿宋"/>
          <w:kern w:val="0"/>
          <w:szCs w:val="30"/>
        </w:rPr>
      </w:pPr>
      <w:r>
        <w:rPr>
          <w:rFonts w:hint="eastAsia" w:ascii="仿宋" w:hAnsi="仿宋" w:eastAsia="仿宋" w:cs="仿宋"/>
          <w:kern w:val="0"/>
          <w:szCs w:val="30"/>
        </w:rPr>
        <w:t>3.公众评判法。通过专家评估、公众问卷等对专项资金使用效果进行评判。</w:t>
      </w:r>
    </w:p>
    <w:p>
      <w:pPr>
        <w:pStyle w:val="2"/>
        <w:spacing w:beforeLines="50" w:afterLines="50" w:line="600" w:lineRule="exact"/>
        <w:ind w:firstLine="602" w:firstLineChars="200"/>
        <w:rPr>
          <w:rFonts w:ascii="仿宋" w:hAnsi="仿宋" w:eastAsia="仿宋" w:cs="仿宋"/>
          <w:kern w:val="0"/>
          <w:sz w:val="30"/>
          <w:szCs w:val="30"/>
        </w:rPr>
      </w:pPr>
      <w:bookmarkStart w:id="30" w:name="_Toc2173"/>
      <w:r>
        <w:rPr>
          <w:rFonts w:hint="eastAsia" w:ascii="仿宋" w:hAnsi="仿宋" w:eastAsia="仿宋" w:cs="仿宋"/>
          <w:kern w:val="0"/>
          <w:sz w:val="30"/>
          <w:szCs w:val="30"/>
        </w:rPr>
        <w:t>（</w:t>
      </w:r>
      <w:r>
        <w:rPr>
          <w:rFonts w:hint="eastAsia" w:ascii="仿宋" w:hAnsi="仿宋" w:eastAsia="仿宋"/>
          <w:sz w:val="30"/>
          <w:szCs w:val="30"/>
        </w:rPr>
        <w:t>四）评价指标体系</w:t>
      </w:r>
      <w:bookmarkEnd w:id="30"/>
    </w:p>
    <w:p>
      <w:pPr>
        <w:spacing w:line="600" w:lineRule="exact"/>
        <w:ind w:firstLine="600" w:firstLineChars="200"/>
        <w:rPr>
          <w:rFonts w:ascii="仿宋" w:hAnsi="仿宋" w:eastAsia="仿宋" w:cs="仿宋"/>
          <w:color w:val="000000"/>
          <w:kern w:val="0"/>
          <w:szCs w:val="30"/>
        </w:rPr>
      </w:pPr>
      <w:r>
        <w:rPr>
          <w:rFonts w:hint="eastAsia" w:ascii="仿宋" w:hAnsi="仿宋" w:eastAsia="仿宋" w:cs="仿宋"/>
          <w:color w:val="000000"/>
          <w:kern w:val="0"/>
          <w:szCs w:val="30"/>
        </w:rPr>
        <w:t>根据项目的目标、实施方案、考核标准等，经与县财政局充分讨论，拟定巫溪县2019年涉农整合资金特色产业发展项目指标体系。整个指标体系分为投入（10分）、过程（30分）、产出（30分）及效果（30分）4个一级指标，并设置了11个二级指标、20个三级指标。具体指标详见附件1《巫溪县2019年涉农整合资金特色产业发展项目绩效评价指标体系及评分表》。</w:t>
      </w:r>
    </w:p>
    <w:p>
      <w:pPr>
        <w:pStyle w:val="2"/>
        <w:spacing w:before="0" w:after="0" w:line="600" w:lineRule="exact"/>
        <w:ind w:firstLine="602" w:firstLineChars="200"/>
        <w:rPr>
          <w:rFonts w:ascii="仿宋" w:hAnsi="仿宋" w:eastAsia="仿宋" w:cs="仿宋"/>
          <w:kern w:val="0"/>
          <w:sz w:val="30"/>
          <w:szCs w:val="30"/>
        </w:rPr>
      </w:pPr>
      <w:bookmarkStart w:id="31" w:name="_Toc46324354"/>
      <w:bookmarkStart w:id="32" w:name="_Toc2030"/>
      <w:r>
        <w:rPr>
          <w:rFonts w:hint="eastAsia" w:ascii="仿宋" w:hAnsi="仿宋" w:eastAsia="仿宋" w:cs="仿宋"/>
          <w:kern w:val="0"/>
          <w:sz w:val="30"/>
          <w:szCs w:val="30"/>
        </w:rPr>
        <w:t>（五）评价样本确定情况</w:t>
      </w:r>
      <w:bookmarkEnd w:id="31"/>
      <w:bookmarkEnd w:id="32"/>
    </w:p>
    <w:p>
      <w:pPr>
        <w:spacing w:before="10" w:after="10" w:line="600" w:lineRule="exact"/>
        <w:ind w:firstLine="600" w:firstLineChars="200"/>
        <w:rPr>
          <w:rFonts w:ascii="仿宋" w:hAnsi="仿宋" w:eastAsia="仿宋" w:cs="仿宋"/>
          <w:kern w:val="0"/>
          <w:szCs w:val="30"/>
        </w:rPr>
      </w:pPr>
      <w:r>
        <w:rPr>
          <w:rFonts w:hint="eastAsia" w:ascii="仿宋" w:hAnsi="仿宋" w:eastAsia="仿宋" w:cs="仿宋"/>
          <w:kern w:val="0"/>
          <w:szCs w:val="30"/>
        </w:rPr>
        <w:t>项目样本选择以确保评价内容完整、评价重点突出、评价结果客观为原则，在各类情形中分别随机选择5个以上的调查对象作为样本点，且全部样本点涉及的评价资金规模占评价项目资金的比例不低于10%。本评价项目涉及乡镇6个，综合考虑个别乡镇较为偏远的特点，本次现场评价样本量乡镇定为5个。现场抽样样本见下表：</w:t>
      </w:r>
    </w:p>
    <w:p>
      <w:pPr>
        <w:keepNext/>
        <w:keepLines/>
        <w:spacing w:beforeLines="50" w:afterLines="50" w:line="600" w:lineRule="exact"/>
        <w:jc w:val="center"/>
        <w:rPr>
          <w:rFonts w:eastAsia="仿宋"/>
          <w:b/>
          <w:bCs/>
        </w:rPr>
      </w:pPr>
      <w:r>
        <w:rPr>
          <w:rFonts w:hint="eastAsia" w:ascii="仿宋" w:hAnsi="仿宋" w:eastAsia="仿宋" w:cs="仿宋"/>
          <w:b/>
          <w:bCs/>
          <w:kern w:val="0"/>
          <w:szCs w:val="30"/>
        </w:rPr>
        <w:t>产业发展项目现场抽样表</w:t>
      </w:r>
    </w:p>
    <w:tbl>
      <w:tblPr>
        <w:tblStyle w:val="12"/>
        <w:tblW w:w="7625" w:type="dxa"/>
        <w:jc w:val="center"/>
        <w:tblLayout w:type="autofit"/>
        <w:tblCellMar>
          <w:top w:w="0" w:type="dxa"/>
          <w:left w:w="0" w:type="dxa"/>
          <w:bottom w:w="0" w:type="dxa"/>
          <w:right w:w="0" w:type="dxa"/>
        </w:tblCellMar>
      </w:tblPr>
      <w:tblGrid>
        <w:gridCol w:w="1310"/>
        <w:gridCol w:w="3846"/>
        <w:gridCol w:w="2469"/>
      </w:tblGrid>
      <w:tr>
        <w:tblPrEx>
          <w:tblCellMar>
            <w:top w:w="0" w:type="dxa"/>
            <w:left w:w="0" w:type="dxa"/>
            <w:bottom w:w="0" w:type="dxa"/>
            <w:right w:w="0" w:type="dxa"/>
          </w:tblCellMar>
        </w:tblPrEx>
        <w:trPr>
          <w:trHeight w:val="270" w:hRule="atLeast"/>
          <w:jc w:val="center"/>
        </w:trPr>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bCs/>
                <w:color w:val="000000"/>
                <w:kern w:val="0"/>
                <w:sz w:val="24"/>
              </w:rPr>
            </w:pPr>
            <w:r>
              <w:rPr>
                <w:rFonts w:hint="eastAsia" w:ascii="仿宋" w:hAnsi="仿宋" w:eastAsia="仿宋" w:cs="宋体"/>
                <w:b/>
                <w:bCs/>
                <w:color w:val="000000"/>
                <w:kern w:val="0"/>
                <w:sz w:val="24"/>
              </w:rPr>
              <w:t>序号</w:t>
            </w:r>
          </w:p>
        </w:tc>
        <w:tc>
          <w:tcPr>
            <w:tcW w:w="3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bCs/>
                <w:color w:val="000000"/>
                <w:kern w:val="0"/>
                <w:sz w:val="24"/>
              </w:rPr>
            </w:pPr>
            <w:r>
              <w:rPr>
                <w:rFonts w:hint="eastAsia" w:ascii="仿宋" w:hAnsi="仿宋" w:eastAsia="仿宋" w:cs="宋体"/>
                <w:b/>
                <w:bCs/>
                <w:color w:val="000000"/>
                <w:kern w:val="0"/>
                <w:sz w:val="24"/>
              </w:rPr>
              <w:t xml:space="preserve">乡镇 </w:t>
            </w:r>
          </w:p>
        </w:tc>
        <w:tc>
          <w:tcPr>
            <w:tcW w:w="2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b/>
                <w:bCs/>
                <w:color w:val="000000"/>
                <w:kern w:val="0"/>
                <w:sz w:val="24"/>
              </w:rPr>
            </w:pPr>
            <w:r>
              <w:rPr>
                <w:rFonts w:hint="eastAsia" w:ascii="仿宋" w:hAnsi="仿宋" w:eastAsia="仿宋" w:cs="宋体"/>
                <w:b/>
                <w:bCs/>
                <w:color w:val="000000"/>
                <w:kern w:val="0"/>
                <w:sz w:val="24"/>
              </w:rPr>
              <w:t>财政补助资金</w:t>
            </w:r>
          </w:p>
        </w:tc>
      </w:tr>
      <w:tr>
        <w:tblPrEx>
          <w:tblCellMar>
            <w:top w:w="0" w:type="dxa"/>
            <w:left w:w="0" w:type="dxa"/>
            <w:bottom w:w="0" w:type="dxa"/>
            <w:right w:w="0" w:type="dxa"/>
          </w:tblCellMar>
        </w:tblPrEx>
        <w:trPr>
          <w:trHeight w:val="270" w:hRule="atLeast"/>
          <w:jc w:val="center"/>
        </w:trPr>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3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峰灵镇谭家村</w:t>
            </w:r>
          </w:p>
        </w:tc>
        <w:tc>
          <w:tcPr>
            <w:tcW w:w="2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5,000,000.00</w:t>
            </w:r>
          </w:p>
        </w:tc>
      </w:tr>
      <w:tr>
        <w:tblPrEx>
          <w:tblCellMar>
            <w:top w:w="0" w:type="dxa"/>
            <w:left w:w="0" w:type="dxa"/>
            <w:bottom w:w="0" w:type="dxa"/>
            <w:right w:w="0" w:type="dxa"/>
          </w:tblCellMar>
        </w:tblPrEx>
        <w:trPr>
          <w:trHeight w:val="270" w:hRule="atLeast"/>
          <w:jc w:val="center"/>
        </w:trPr>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3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城厢镇酒泉村</w:t>
            </w:r>
          </w:p>
        </w:tc>
        <w:tc>
          <w:tcPr>
            <w:tcW w:w="2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1,000,000.00</w:t>
            </w:r>
          </w:p>
        </w:tc>
      </w:tr>
      <w:tr>
        <w:tblPrEx>
          <w:tblCellMar>
            <w:top w:w="0" w:type="dxa"/>
            <w:left w:w="0" w:type="dxa"/>
            <w:bottom w:w="0" w:type="dxa"/>
            <w:right w:w="0" w:type="dxa"/>
          </w:tblCellMar>
        </w:tblPrEx>
        <w:trPr>
          <w:trHeight w:val="270" w:hRule="atLeast"/>
          <w:jc w:val="center"/>
        </w:trPr>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3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凤凰镇石龙村</w:t>
            </w:r>
          </w:p>
        </w:tc>
        <w:tc>
          <w:tcPr>
            <w:tcW w:w="2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1,000,000.00</w:t>
            </w:r>
          </w:p>
        </w:tc>
      </w:tr>
      <w:tr>
        <w:tblPrEx>
          <w:tblCellMar>
            <w:top w:w="0" w:type="dxa"/>
            <w:left w:w="0" w:type="dxa"/>
            <w:bottom w:w="0" w:type="dxa"/>
            <w:right w:w="0" w:type="dxa"/>
          </w:tblCellMar>
        </w:tblPrEx>
        <w:trPr>
          <w:trHeight w:val="270" w:hRule="atLeast"/>
          <w:jc w:val="center"/>
        </w:trPr>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3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古路镇观峰村</w:t>
            </w:r>
          </w:p>
        </w:tc>
        <w:tc>
          <w:tcPr>
            <w:tcW w:w="2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1,000,000.00</w:t>
            </w:r>
          </w:p>
        </w:tc>
      </w:tr>
      <w:tr>
        <w:tblPrEx>
          <w:tblCellMar>
            <w:top w:w="0" w:type="dxa"/>
            <w:left w:w="0" w:type="dxa"/>
            <w:bottom w:w="0" w:type="dxa"/>
            <w:right w:w="0" w:type="dxa"/>
          </w:tblCellMar>
        </w:tblPrEx>
        <w:trPr>
          <w:trHeight w:val="270" w:hRule="atLeast"/>
          <w:jc w:val="center"/>
        </w:trPr>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3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文峰镇银峰村</w:t>
            </w:r>
          </w:p>
        </w:tc>
        <w:tc>
          <w:tcPr>
            <w:tcW w:w="2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1,000,000.00</w:t>
            </w:r>
          </w:p>
        </w:tc>
      </w:tr>
      <w:tr>
        <w:tblPrEx>
          <w:tblCellMar>
            <w:top w:w="0" w:type="dxa"/>
            <w:left w:w="0" w:type="dxa"/>
            <w:bottom w:w="0" w:type="dxa"/>
            <w:right w:w="0" w:type="dxa"/>
          </w:tblCellMar>
        </w:tblPrEx>
        <w:trPr>
          <w:trHeight w:val="300" w:hRule="atLeast"/>
          <w:jc w:val="center"/>
        </w:trPr>
        <w:tc>
          <w:tcPr>
            <w:tcW w:w="5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合计</w:t>
            </w:r>
          </w:p>
        </w:tc>
        <w:tc>
          <w:tcPr>
            <w:tcW w:w="2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9,000,000.00</w:t>
            </w:r>
          </w:p>
        </w:tc>
      </w:tr>
      <w:tr>
        <w:tblPrEx>
          <w:tblCellMar>
            <w:top w:w="0" w:type="dxa"/>
            <w:left w:w="0" w:type="dxa"/>
            <w:bottom w:w="0" w:type="dxa"/>
            <w:right w:w="0" w:type="dxa"/>
          </w:tblCellMar>
        </w:tblPrEx>
        <w:trPr>
          <w:trHeight w:val="300" w:hRule="atLeast"/>
          <w:jc w:val="center"/>
        </w:trPr>
        <w:tc>
          <w:tcPr>
            <w:tcW w:w="5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抽查数占总资金比</w:t>
            </w:r>
          </w:p>
        </w:tc>
        <w:tc>
          <w:tcPr>
            <w:tcW w:w="2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90.00%</w:t>
            </w:r>
          </w:p>
        </w:tc>
      </w:tr>
      <w:tr>
        <w:tblPrEx>
          <w:tblCellMar>
            <w:top w:w="0" w:type="dxa"/>
            <w:left w:w="0" w:type="dxa"/>
            <w:bottom w:w="0" w:type="dxa"/>
            <w:right w:w="0" w:type="dxa"/>
          </w:tblCellMar>
        </w:tblPrEx>
        <w:trPr>
          <w:trHeight w:val="300" w:hRule="atLeast"/>
          <w:jc w:val="center"/>
        </w:trPr>
        <w:tc>
          <w:tcPr>
            <w:tcW w:w="5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抽查数占乡镇总数比</w:t>
            </w:r>
          </w:p>
        </w:tc>
        <w:tc>
          <w:tcPr>
            <w:tcW w:w="2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83.33%</w:t>
            </w:r>
          </w:p>
        </w:tc>
      </w:tr>
    </w:tbl>
    <w:p>
      <w:pPr>
        <w:spacing w:beforeLines="50" w:afterLines="50" w:line="600" w:lineRule="exact"/>
        <w:ind w:firstLine="602" w:firstLineChars="200"/>
        <w:outlineLvl w:val="0"/>
        <w:rPr>
          <w:rFonts w:ascii="仿宋" w:hAnsi="仿宋" w:eastAsia="仿宋" w:cs="仿宋"/>
          <w:b/>
          <w:bCs/>
          <w:szCs w:val="30"/>
        </w:rPr>
      </w:pPr>
      <w:bookmarkStart w:id="33" w:name="_Toc16980"/>
      <w:bookmarkStart w:id="34" w:name="_Toc2034"/>
      <w:bookmarkStart w:id="35" w:name="_Toc25711"/>
      <w:bookmarkStart w:id="36" w:name="_Toc26802"/>
      <w:bookmarkStart w:id="37" w:name="_Toc4526"/>
      <w:r>
        <w:rPr>
          <w:rFonts w:hint="eastAsia" w:ascii="仿宋" w:hAnsi="仿宋" w:eastAsia="仿宋" w:cs="仿宋"/>
          <w:b/>
          <w:bCs/>
          <w:szCs w:val="30"/>
        </w:rPr>
        <w:t>（六）绩效评价工作过程</w:t>
      </w:r>
      <w:bookmarkEnd w:id="33"/>
      <w:bookmarkEnd w:id="34"/>
      <w:bookmarkEnd w:id="35"/>
      <w:bookmarkEnd w:id="36"/>
    </w:p>
    <w:p>
      <w:pPr>
        <w:spacing w:line="600" w:lineRule="exact"/>
        <w:ind w:firstLine="600" w:firstLineChars="200"/>
        <w:rPr>
          <w:rFonts w:ascii="仿宋" w:hAnsi="仿宋" w:eastAsia="仿宋"/>
          <w:szCs w:val="30"/>
        </w:rPr>
      </w:pPr>
      <w:r>
        <w:rPr>
          <w:rFonts w:hint="eastAsia" w:ascii="仿宋" w:hAnsi="仿宋" w:eastAsia="仿宋"/>
          <w:szCs w:val="30"/>
        </w:rPr>
        <w:t>绩效评价工作过程主要包括前期准备、组织实施和分析评价三个阶段。详细步骤如下：</w:t>
      </w:r>
    </w:p>
    <w:p>
      <w:pPr>
        <w:spacing w:line="600" w:lineRule="exact"/>
        <w:ind w:firstLine="602" w:firstLineChars="200"/>
        <w:rPr>
          <w:rFonts w:ascii="仿宋" w:hAnsi="仿宋" w:eastAsia="仿宋"/>
          <w:szCs w:val="30"/>
        </w:rPr>
      </w:pPr>
      <w:r>
        <w:rPr>
          <w:rFonts w:hint="eastAsia" w:ascii="仿宋" w:hAnsi="仿宋" w:eastAsia="仿宋" w:cs="仿宋"/>
          <w:b/>
          <w:bCs/>
          <w:szCs w:val="30"/>
        </w:rPr>
        <w:t>1.前期准备。</w:t>
      </w:r>
      <w:r>
        <w:rPr>
          <w:rFonts w:hint="eastAsia" w:ascii="仿宋" w:hAnsi="仿宋" w:eastAsia="仿宋"/>
          <w:szCs w:val="30"/>
        </w:rPr>
        <w:t>成立绩效评价工作组，落实协调人员，与相关部门、单位进行衔接沟通、前期调研、政策研究，制定绩效评价工作方案，进一步收集所需资料，与相关部门、科室人员座谈，拟定绩效评价指标体系。</w:t>
      </w:r>
    </w:p>
    <w:p>
      <w:pPr>
        <w:spacing w:line="600" w:lineRule="exact"/>
        <w:ind w:firstLine="602" w:firstLineChars="200"/>
        <w:rPr>
          <w:rFonts w:ascii="仿宋" w:hAnsi="仿宋" w:eastAsia="仿宋" w:cs="仿宋"/>
          <w:szCs w:val="30"/>
        </w:rPr>
      </w:pPr>
      <w:bookmarkStart w:id="38" w:name="_Toc16249"/>
      <w:bookmarkStart w:id="39" w:name="_Toc32298"/>
      <w:r>
        <w:rPr>
          <w:rFonts w:ascii="仿宋" w:hAnsi="仿宋" w:eastAsia="仿宋" w:cs="仿宋"/>
          <w:b/>
          <w:bCs/>
          <w:szCs w:val="30"/>
        </w:rPr>
        <w:t>2.组织实施。</w:t>
      </w:r>
      <w:r>
        <w:rPr>
          <w:rFonts w:hint="eastAsia" w:ascii="仿宋" w:hAnsi="仿宋" w:eastAsia="仿宋"/>
          <w:szCs w:val="30"/>
        </w:rPr>
        <w:t>开展现场查勘、收集资料、问卷调查，汇总分析并撰写项目情况汇总材料并进行初步评分。</w:t>
      </w:r>
      <w:bookmarkEnd w:id="38"/>
      <w:bookmarkEnd w:id="39"/>
    </w:p>
    <w:p>
      <w:pPr>
        <w:spacing w:line="600" w:lineRule="exact"/>
        <w:ind w:firstLine="602" w:firstLineChars="200"/>
        <w:rPr>
          <w:rFonts w:ascii="仿宋" w:hAnsi="仿宋" w:eastAsia="仿宋"/>
        </w:rPr>
      </w:pPr>
      <w:bookmarkStart w:id="40" w:name="_Toc1093"/>
      <w:bookmarkStart w:id="41" w:name="_Toc32139"/>
      <w:r>
        <w:rPr>
          <w:rFonts w:ascii="仿宋" w:hAnsi="仿宋" w:eastAsia="仿宋" w:cs="仿宋"/>
          <w:b/>
          <w:bCs/>
          <w:szCs w:val="30"/>
        </w:rPr>
        <w:t>3.分析评价。</w:t>
      </w:r>
      <w:r>
        <w:rPr>
          <w:rFonts w:hint="eastAsia" w:ascii="仿宋" w:hAnsi="仿宋" w:eastAsia="仿宋"/>
          <w:szCs w:val="30"/>
        </w:rPr>
        <w:t>邀请相关专业人士召开会议进行评议打分，撰写绩效评价报告初稿，提交县财政局相关科室和被评价单位征求意见, 并按县财政局报告审定程序报送、修改、完善绩效评价报告。</w:t>
      </w:r>
      <w:bookmarkEnd w:id="40"/>
      <w:bookmarkEnd w:id="41"/>
    </w:p>
    <w:p>
      <w:pPr>
        <w:pStyle w:val="25"/>
        <w:adjustRightInd w:val="0"/>
        <w:snapToGrid w:val="0"/>
        <w:spacing w:before="120" w:after="120" w:line="600" w:lineRule="exact"/>
        <w:ind w:firstLine="643" w:firstLineChars="200"/>
        <w:rPr>
          <w:rFonts w:ascii="黑体" w:hAnsi="黑体" w:eastAsia="黑体" w:cs="黑体"/>
        </w:rPr>
      </w:pPr>
      <w:bookmarkStart w:id="42" w:name="_Toc22051"/>
      <w:r>
        <w:rPr>
          <w:rFonts w:hint="eastAsia" w:ascii="黑体" w:hAnsi="黑体" w:eastAsia="黑体" w:cs="黑体"/>
        </w:rPr>
        <w:t>三、绩效评价指标分析情况</w:t>
      </w:r>
      <w:bookmarkEnd w:id="37"/>
      <w:bookmarkEnd w:id="42"/>
    </w:p>
    <w:p>
      <w:pPr>
        <w:spacing w:line="600" w:lineRule="exact"/>
        <w:ind w:firstLine="600" w:firstLineChars="200"/>
        <w:rPr>
          <w:rFonts w:ascii="仿宋" w:hAnsi="仿宋" w:eastAsia="仿宋" w:cs="仿宋"/>
          <w:szCs w:val="30"/>
        </w:rPr>
      </w:pPr>
      <w:bookmarkStart w:id="43" w:name="_Toc29513"/>
      <w:r>
        <w:rPr>
          <w:rFonts w:hint="eastAsia" w:ascii="仿宋" w:hAnsi="仿宋" w:eastAsia="仿宋" w:cs="仿宋"/>
          <w:szCs w:val="30"/>
        </w:rPr>
        <w:t>按照《</w:t>
      </w:r>
      <w:r>
        <w:rPr>
          <w:rFonts w:hint="eastAsia" w:ascii="仿宋" w:hAnsi="仿宋" w:eastAsia="仿宋"/>
          <w:szCs w:val="30"/>
        </w:rPr>
        <w:t>巫溪县2019年涉农整合资金特色产业发展项目绩效评价指标体系</w:t>
      </w:r>
      <w:r>
        <w:rPr>
          <w:rFonts w:hint="eastAsia" w:ascii="仿宋" w:hAnsi="仿宋" w:eastAsia="仿宋" w:cs="仿宋"/>
          <w:szCs w:val="30"/>
        </w:rPr>
        <w:t>》中设定的指标逐一展开分析。</w:t>
      </w:r>
    </w:p>
    <w:p>
      <w:pPr>
        <w:pStyle w:val="25"/>
        <w:spacing w:before="120" w:after="120" w:line="600" w:lineRule="exact"/>
        <w:ind w:firstLine="602" w:firstLineChars="200"/>
        <w:rPr>
          <w:rFonts w:ascii="仿宋" w:hAnsi="仿宋" w:eastAsia="仿宋"/>
          <w:sz w:val="30"/>
          <w:szCs w:val="30"/>
        </w:rPr>
      </w:pPr>
      <w:bookmarkStart w:id="44" w:name="_Toc17587243"/>
      <w:bookmarkStart w:id="45" w:name="_Toc31887"/>
      <w:bookmarkStart w:id="46" w:name="_Toc31418"/>
      <w:bookmarkStart w:id="47" w:name="_Toc18803"/>
      <w:bookmarkStart w:id="48" w:name="_Toc18972"/>
      <w:r>
        <w:rPr>
          <w:rFonts w:hint="eastAsia" w:ascii="仿宋" w:hAnsi="仿宋" w:eastAsia="仿宋"/>
          <w:sz w:val="30"/>
          <w:szCs w:val="30"/>
        </w:rPr>
        <w:t>（一）</w:t>
      </w:r>
      <w:bookmarkEnd w:id="44"/>
      <w:bookmarkEnd w:id="45"/>
      <w:bookmarkEnd w:id="46"/>
      <w:bookmarkEnd w:id="47"/>
      <w:r>
        <w:rPr>
          <w:rFonts w:hint="eastAsia" w:ascii="仿宋" w:hAnsi="仿宋" w:eastAsia="仿宋"/>
          <w:sz w:val="30"/>
          <w:szCs w:val="30"/>
        </w:rPr>
        <w:t>项目指标情况分析</w:t>
      </w:r>
      <w:bookmarkEnd w:id="48"/>
    </w:p>
    <w:p>
      <w:pPr>
        <w:spacing w:line="600" w:lineRule="exact"/>
        <w:ind w:firstLine="602" w:firstLineChars="200"/>
        <w:rPr>
          <w:rFonts w:ascii="仿宋" w:hAnsi="仿宋" w:eastAsia="仿宋" w:cs="仿宋"/>
          <w:szCs w:val="30"/>
        </w:rPr>
      </w:pPr>
      <w:r>
        <w:rPr>
          <w:rFonts w:hint="eastAsia" w:ascii="仿宋" w:hAnsi="仿宋" w:eastAsia="仿宋"/>
          <w:b/>
          <w:kern w:val="0"/>
          <w:szCs w:val="30"/>
        </w:rPr>
        <w:t>绩效目标合理性：</w:t>
      </w:r>
      <w:r>
        <w:rPr>
          <w:rFonts w:hint="eastAsia" w:ascii="仿宋" w:hAnsi="仿宋" w:eastAsia="仿宋"/>
          <w:szCs w:val="30"/>
        </w:rPr>
        <w:t>根据县农业农村委提供的《绩效目标（自评）申报表》，县农业农村委</w:t>
      </w:r>
      <w:r>
        <w:rPr>
          <w:rFonts w:hint="eastAsia" w:ascii="仿宋" w:hAnsi="仿宋" w:eastAsia="仿宋" w:cs="仿宋"/>
          <w:szCs w:val="30"/>
        </w:rPr>
        <w:t>设定了2019年绩效目标“通过项目建设，带动特色产业发展，促进农村经济稳步发展；带动农户特别是贫困户增收；推动农业产业结构调整，提高特色产业效益和竞争力；发展壮大农业新型经营主体，提高组织化程度。”所设定的绩效目标符合国家相关法律法规、国民经济发展规划和党委政府决策，与项目实施单位职责密切相关且为促进事业发展所必需，项目预期产出效益和效果符合正常的业绩水平。</w:t>
      </w:r>
    </w:p>
    <w:p>
      <w:pPr>
        <w:spacing w:line="600" w:lineRule="exact"/>
        <w:ind w:firstLine="602" w:firstLineChars="200"/>
        <w:rPr>
          <w:rFonts w:ascii="仿宋" w:hAnsi="仿宋" w:eastAsia="仿宋"/>
          <w:szCs w:val="30"/>
        </w:rPr>
      </w:pPr>
      <w:r>
        <w:rPr>
          <w:rFonts w:hint="eastAsia" w:ascii="仿宋" w:hAnsi="仿宋" w:eastAsia="仿宋"/>
          <w:b/>
          <w:kern w:val="0"/>
          <w:szCs w:val="30"/>
        </w:rPr>
        <w:t>绩效指标明确性：</w:t>
      </w:r>
      <w:r>
        <w:rPr>
          <w:rFonts w:hint="eastAsia" w:ascii="仿宋" w:hAnsi="仿宋" w:eastAsia="仿宋" w:cs="仿宋"/>
          <w:szCs w:val="30"/>
        </w:rPr>
        <w:t>县农业农村委设定绩效目标基本能够通过清晰、可衡量的指标值体现，与项目年度计划数相对应，与预算资金量相匹配。但个别指标较难衡量，如经济效益指标“带动增加贫困人口全年总收入≥100万元”。</w:t>
      </w:r>
    </w:p>
    <w:p>
      <w:pPr>
        <w:spacing w:line="600" w:lineRule="exact"/>
        <w:ind w:firstLine="602" w:firstLineChars="200"/>
        <w:rPr>
          <w:rFonts w:ascii="仿宋" w:hAnsi="仿宋" w:eastAsia="仿宋"/>
          <w:szCs w:val="30"/>
        </w:rPr>
      </w:pPr>
      <w:r>
        <w:rPr>
          <w:rFonts w:hint="eastAsia" w:ascii="仿宋" w:hAnsi="仿宋" w:eastAsia="仿宋"/>
          <w:b/>
          <w:kern w:val="0"/>
          <w:szCs w:val="30"/>
        </w:rPr>
        <w:t>项目决策：</w:t>
      </w:r>
      <w:r>
        <w:rPr>
          <w:rFonts w:hint="eastAsia" w:ascii="仿宋" w:hAnsi="仿宋" w:eastAsia="仿宋" w:cs="仿宋"/>
          <w:szCs w:val="30"/>
        </w:rPr>
        <w:t>根据巫溪农发〔2019〕41号文件，巫溪县农业项目通过项目储备、申报、评审、下达批复的程序进行立项。根据现场了解及查看资料情况，在本次产业发展项目立项过程中，由于部分项目未通过初次评审，后调整项目重新上报，由巫溪县脱贫攻坚领导小组审议确定后直接在项目库中进行调整，但相关决策资料缺失。</w:t>
      </w:r>
    </w:p>
    <w:bookmarkEnd w:id="43"/>
    <w:p>
      <w:pPr>
        <w:pStyle w:val="25"/>
        <w:spacing w:before="120" w:after="120" w:line="600" w:lineRule="exact"/>
        <w:ind w:firstLine="602" w:firstLineChars="200"/>
        <w:rPr>
          <w:rFonts w:ascii="仿宋" w:hAnsi="仿宋" w:eastAsia="仿宋" w:cs="仿宋"/>
          <w:sz w:val="30"/>
          <w:szCs w:val="30"/>
        </w:rPr>
      </w:pPr>
      <w:bookmarkStart w:id="49" w:name="_Toc13999"/>
      <w:bookmarkStart w:id="50" w:name="_Toc22730"/>
      <w:bookmarkStart w:id="51" w:name="_Toc287"/>
      <w:bookmarkStart w:id="52" w:name="_Toc17587244"/>
      <w:bookmarkStart w:id="53" w:name="_Toc4364"/>
      <w:r>
        <w:rPr>
          <w:rFonts w:hint="eastAsia" w:ascii="仿宋" w:hAnsi="仿宋" w:eastAsia="仿宋" w:cs="仿宋"/>
          <w:sz w:val="30"/>
          <w:szCs w:val="30"/>
        </w:rPr>
        <w:t>（二）项目资金情况分析</w:t>
      </w:r>
      <w:bookmarkEnd w:id="49"/>
    </w:p>
    <w:bookmarkEnd w:id="50"/>
    <w:bookmarkEnd w:id="51"/>
    <w:bookmarkEnd w:id="52"/>
    <w:bookmarkEnd w:id="53"/>
    <w:p>
      <w:pPr>
        <w:widowControl/>
        <w:spacing w:line="600" w:lineRule="exact"/>
        <w:ind w:firstLine="602" w:firstLineChars="200"/>
        <w:rPr>
          <w:rFonts w:ascii="仿宋" w:hAnsi="仿宋" w:eastAsia="仿宋" w:cs="仿宋"/>
          <w:szCs w:val="30"/>
        </w:rPr>
      </w:pPr>
      <w:r>
        <w:rPr>
          <w:rFonts w:hint="eastAsia" w:ascii="仿宋" w:hAnsi="仿宋" w:eastAsia="仿宋" w:cs="仿宋"/>
          <w:b/>
          <w:bCs/>
          <w:kern w:val="0"/>
          <w:szCs w:val="30"/>
        </w:rPr>
        <w:t>资金到位率：</w:t>
      </w:r>
      <w:r>
        <w:rPr>
          <w:rFonts w:hint="eastAsia" w:ascii="仿宋" w:hAnsi="仿宋" w:eastAsia="仿宋" w:cs="仿宋"/>
          <w:szCs w:val="30"/>
        </w:rPr>
        <w:t>根据巫溪农发〔2019〕115号文件及县农业农村委财务资料，截至2019年9月，县财政局已全额下达项目资金至县农业农村委，由县农业农村委全额拨付至相关乡镇，资金到位率为100%。</w:t>
      </w:r>
      <w:bookmarkStart w:id="54" w:name="_Toc28"/>
    </w:p>
    <w:p>
      <w:pPr>
        <w:spacing w:line="600" w:lineRule="exact"/>
        <w:ind w:firstLine="602" w:firstLineChars="200"/>
        <w:rPr>
          <w:rFonts w:ascii="仿宋" w:hAnsi="仿宋" w:eastAsia="仿宋" w:cs="仿宋"/>
          <w:kern w:val="0"/>
          <w:szCs w:val="30"/>
        </w:rPr>
      </w:pPr>
      <w:r>
        <w:rPr>
          <w:rFonts w:hint="eastAsia" w:ascii="仿宋" w:hAnsi="仿宋" w:eastAsia="仿宋" w:cs="仿宋"/>
          <w:b/>
          <w:kern w:val="0"/>
          <w:szCs w:val="30"/>
        </w:rPr>
        <w:t>财务制度健全性：</w:t>
      </w:r>
      <w:r>
        <w:rPr>
          <w:rFonts w:hint="eastAsia" w:ascii="仿宋" w:hAnsi="仿宋" w:eastAsia="仿宋" w:cs="仿宋"/>
          <w:kern w:val="0"/>
          <w:szCs w:val="30"/>
        </w:rPr>
        <w:t>项目资金管理参照《巫溪县统筹整合使用财政涉农资金管理办法》</w:t>
      </w:r>
      <w:r>
        <w:rPr>
          <w:rFonts w:hint="eastAsia" w:ascii="仿宋" w:hAnsi="仿宋" w:eastAsia="仿宋" w:cs="仿宋"/>
          <w:bCs/>
          <w:kern w:val="0"/>
          <w:szCs w:val="30"/>
        </w:rPr>
        <w:t>（</w:t>
      </w:r>
      <w:r>
        <w:rPr>
          <w:rFonts w:hint="eastAsia" w:ascii="仿宋" w:hAnsi="仿宋" w:eastAsia="仿宋" w:cs="仿宋"/>
          <w:bCs/>
          <w:szCs w:val="30"/>
        </w:rPr>
        <w:t>巫溪府办发〔2019〕27号</w:t>
      </w:r>
      <w:r>
        <w:rPr>
          <w:rFonts w:hint="eastAsia" w:ascii="仿宋" w:hAnsi="仿宋" w:eastAsia="仿宋" w:cs="仿宋"/>
          <w:bCs/>
          <w:kern w:val="0"/>
          <w:szCs w:val="30"/>
        </w:rPr>
        <w:t>）</w:t>
      </w:r>
      <w:r>
        <w:rPr>
          <w:rFonts w:hint="eastAsia" w:ascii="仿宋" w:hAnsi="仿宋" w:eastAsia="仿宋" w:cs="仿宋"/>
          <w:kern w:val="0"/>
          <w:szCs w:val="30"/>
        </w:rPr>
        <w:t>，该《办法》对资金使用范围、资金拨付、监督与检查等方面均作出了明确规定，资金管理制度基本健全。但通过现场走访情况，部分乡镇未建立财务管理制度，如：凤凰镇石龙村、文峰镇银峰村。</w:t>
      </w:r>
    </w:p>
    <w:p>
      <w:pPr>
        <w:spacing w:line="600" w:lineRule="exact"/>
        <w:ind w:firstLine="602" w:firstLineChars="200"/>
        <w:rPr>
          <w:rFonts w:ascii="仿宋" w:hAnsi="仿宋" w:eastAsia="仿宋" w:cs="仿宋"/>
          <w:kern w:val="0"/>
          <w:szCs w:val="30"/>
        </w:rPr>
      </w:pPr>
      <w:r>
        <w:rPr>
          <w:rFonts w:hint="eastAsia" w:ascii="仿宋" w:hAnsi="仿宋" w:eastAsia="仿宋" w:cs="仿宋"/>
          <w:b/>
          <w:kern w:val="0"/>
          <w:szCs w:val="30"/>
        </w:rPr>
        <w:t>资金使用合规性：</w:t>
      </w:r>
      <w:r>
        <w:rPr>
          <w:rFonts w:hint="eastAsia" w:ascii="仿宋" w:hAnsi="仿宋" w:eastAsia="仿宋" w:cs="仿宋"/>
          <w:kern w:val="0"/>
          <w:szCs w:val="30"/>
        </w:rPr>
        <w:t>根据相关乡镇财务凭证查看情况，项目资金拨付有完整的审批程序和手续，资金支出符合项目预算批复规定用途，资金使用基本符合国家财经法规和财务管理制度以及有关专项资金管理办法的规定。但仍存在以下问题：</w:t>
      </w:r>
      <w:r>
        <w:rPr>
          <w:rFonts w:hint="eastAsia" w:ascii="仿宋" w:hAnsi="仿宋" w:eastAsia="仿宋" w:cs="仿宋"/>
          <w:b/>
          <w:bCs/>
          <w:kern w:val="0"/>
          <w:szCs w:val="30"/>
        </w:rPr>
        <w:t>一是</w:t>
      </w:r>
      <w:r>
        <w:rPr>
          <w:rFonts w:hint="eastAsia" w:ascii="仿宋" w:hAnsi="仿宋" w:eastAsia="仿宋" w:cs="仿宋"/>
          <w:kern w:val="0"/>
          <w:szCs w:val="30"/>
        </w:rPr>
        <w:t>根据巫溪农发〔2019〕41号文件规定，“项目资金必须专账管理、专款专用”，通过现场查看情况，相关乡镇均未建立专账或辅助账对项目资金进行核算。</w:t>
      </w:r>
      <w:r>
        <w:rPr>
          <w:rFonts w:hint="eastAsia" w:ascii="仿宋" w:hAnsi="仿宋" w:eastAsia="仿宋" w:cs="仿宋"/>
          <w:b/>
          <w:bCs/>
          <w:kern w:val="0"/>
          <w:szCs w:val="30"/>
        </w:rPr>
        <w:t>二是</w:t>
      </w:r>
      <w:r>
        <w:rPr>
          <w:rFonts w:hint="eastAsia" w:ascii="仿宋" w:hAnsi="仿宋" w:eastAsia="仿宋" w:cs="仿宋"/>
          <w:kern w:val="0"/>
          <w:szCs w:val="30"/>
        </w:rPr>
        <w:t>文峰镇2019年度特色产业发展项目资金使用方式与项目批复内容不符，且村委会与合作社签订的股权量化协议中股权资金分配条款不合理，可能存在财政资金流失的风险。</w:t>
      </w:r>
      <w:r>
        <w:rPr>
          <w:rFonts w:hint="eastAsia" w:ascii="仿宋" w:hAnsi="仿宋" w:eastAsia="仿宋" w:cs="仿宋"/>
          <w:b/>
          <w:bCs/>
          <w:kern w:val="0"/>
          <w:szCs w:val="30"/>
        </w:rPr>
        <w:t>三是</w:t>
      </w:r>
      <w:r>
        <w:rPr>
          <w:rFonts w:hint="eastAsia" w:ascii="仿宋" w:hAnsi="仿宋" w:eastAsia="仿宋" w:cs="仿宋"/>
          <w:kern w:val="0"/>
          <w:szCs w:val="30"/>
        </w:rPr>
        <w:t>根据巫溪府办发〔2019〕27号文件规定“</w:t>
      </w:r>
      <w:r>
        <w:rPr>
          <w:rFonts w:hint="eastAsia" w:ascii="仿宋" w:hAnsi="仿宋" w:eastAsia="仿宋" w:cs="仿宋"/>
          <w:szCs w:val="30"/>
        </w:rPr>
        <w:t>资金拨付原则上按项目启动、竣工验收两个阶段进行。项目建设</w:t>
      </w:r>
      <w:r>
        <w:rPr>
          <w:rFonts w:hint="eastAsia" w:ascii="仿宋" w:hAnsi="仿宋" w:eastAsia="仿宋" w:cs="仿宋"/>
          <w:kern w:val="0"/>
          <w:szCs w:val="30"/>
        </w:rPr>
        <w:t>计划下达后，可拨付80%的启动资金。项目建设任务完成，经项目法人单位验收，县级抽查验收合格后，由项目法人提出申请，按程序报县行业主管部门审核后，由县财政局按项目资金的20%拨付给项目法人单位，其中：项目资金的5%作为</w:t>
      </w:r>
      <w:r>
        <w:rPr>
          <w:rFonts w:hint="eastAsia" w:ascii="仿宋" w:hAnsi="仿宋" w:eastAsia="仿宋" w:cs="仿宋"/>
          <w:szCs w:val="30"/>
        </w:rPr>
        <w:t>工程质量保证金，剩余资金拨付施工单位。</w:t>
      </w:r>
      <w:r>
        <w:rPr>
          <w:rFonts w:hint="eastAsia" w:ascii="仿宋" w:hAnsi="仿宋" w:eastAsia="仿宋" w:cs="仿宋"/>
          <w:kern w:val="0"/>
          <w:szCs w:val="30"/>
        </w:rPr>
        <w:t>”，但县农业农村委在下达项目建设任务时将资金一次性拨付至相关乡镇，资金拨付进度不符合文件要求。</w:t>
      </w:r>
    </w:p>
    <w:p>
      <w:pPr>
        <w:spacing w:line="600" w:lineRule="exact"/>
        <w:ind w:firstLine="602" w:firstLineChars="200"/>
        <w:rPr>
          <w:rFonts w:ascii="仿宋" w:hAnsi="仿宋" w:eastAsia="仿宋" w:cs="仿宋"/>
          <w:szCs w:val="30"/>
        </w:rPr>
      </w:pPr>
      <w:r>
        <w:rPr>
          <w:rFonts w:hint="eastAsia" w:ascii="仿宋" w:hAnsi="仿宋" w:eastAsia="仿宋" w:cs="仿宋"/>
          <w:b/>
          <w:kern w:val="0"/>
          <w:szCs w:val="30"/>
        </w:rPr>
        <w:t>财务监控有效性：</w:t>
      </w:r>
      <w:bookmarkStart w:id="55" w:name="_Toc20518"/>
      <w:bookmarkStart w:id="56" w:name="_Toc17587245"/>
      <w:r>
        <w:rPr>
          <w:rFonts w:hint="eastAsia" w:ascii="仿宋" w:hAnsi="仿宋" w:eastAsia="仿宋" w:cs="仿宋"/>
          <w:kern w:val="0"/>
          <w:szCs w:val="30"/>
        </w:rPr>
        <w:t>根据巫溪农发〔2019〕41号文件规定，农业项目</w:t>
      </w:r>
      <w:r>
        <w:rPr>
          <w:rFonts w:hint="eastAsia" w:ascii="仿宋" w:hAnsi="仿宋" w:eastAsia="仿宋" w:cs="仿宋"/>
          <w:bCs/>
          <w:color w:val="000000"/>
          <w:szCs w:val="30"/>
        </w:rPr>
        <w:t>资金拨付审签程序为</w:t>
      </w:r>
      <w:r>
        <w:rPr>
          <w:rFonts w:hint="eastAsia" w:ascii="仿宋" w:hAnsi="仿宋" w:eastAsia="仿宋" w:cs="仿宋"/>
          <w:kern w:val="0"/>
          <w:szCs w:val="30"/>
        </w:rPr>
        <w:t>“</w:t>
      </w:r>
      <w:r>
        <w:rPr>
          <w:rFonts w:hint="eastAsia" w:ascii="仿宋" w:hAnsi="仿宋" w:eastAsia="仿宋" w:cs="仿宋"/>
          <w:bCs/>
          <w:color w:val="000000"/>
          <w:szCs w:val="30"/>
        </w:rPr>
        <w:t>项目实施主体填写县农业农村委项目资金拨款申请表→项目指导单位审查→委分管领导审签→项目管理单位项目资料备案→委财务科审核→农业农村委主要领导审签→财务科拨款。</w:t>
      </w:r>
      <w:r>
        <w:rPr>
          <w:rFonts w:hint="eastAsia" w:ascii="仿宋" w:hAnsi="仿宋" w:eastAsia="仿宋" w:cs="仿宋"/>
          <w:szCs w:val="30"/>
        </w:rPr>
        <w:t>”但</w:t>
      </w:r>
      <w:r>
        <w:rPr>
          <w:rFonts w:hint="eastAsia" w:ascii="仿宋" w:hAnsi="仿宋" w:eastAsia="仿宋" w:cs="仿宋"/>
          <w:kern w:val="0"/>
          <w:szCs w:val="30"/>
        </w:rPr>
        <w:t>在项目实际实施过程中，县农业农村委在下达项目建设任务时直接将项目资金一次性拨付至相关乡镇，部分乡镇将资金一次性拨付至村委会或其他项目实施主体；同时县农业农村委未定期对项目建设情况、进度等进行跟踪检查，财务监管存在一定的漏洞。</w:t>
      </w:r>
      <w:bookmarkEnd w:id="55"/>
      <w:bookmarkEnd w:id="56"/>
    </w:p>
    <w:p>
      <w:pPr>
        <w:pStyle w:val="25"/>
        <w:spacing w:before="120" w:after="120" w:line="600" w:lineRule="exact"/>
        <w:ind w:firstLine="602" w:firstLineChars="200"/>
        <w:rPr>
          <w:rFonts w:ascii="仿宋" w:hAnsi="仿宋" w:eastAsia="仿宋" w:cs="仿宋"/>
          <w:sz w:val="30"/>
          <w:szCs w:val="30"/>
        </w:rPr>
      </w:pPr>
      <w:bookmarkStart w:id="57" w:name="_Toc19558"/>
      <w:bookmarkStart w:id="58" w:name="_Toc17587247"/>
      <w:bookmarkStart w:id="59" w:name="_Toc21356"/>
      <w:r>
        <w:rPr>
          <w:rFonts w:hint="eastAsia" w:ascii="仿宋" w:hAnsi="仿宋" w:eastAsia="仿宋" w:cs="仿宋"/>
          <w:sz w:val="30"/>
          <w:szCs w:val="30"/>
        </w:rPr>
        <w:t>（三）项目</w:t>
      </w:r>
      <w:bookmarkEnd w:id="57"/>
      <w:bookmarkEnd w:id="58"/>
      <w:r>
        <w:rPr>
          <w:rFonts w:hint="eastAsia" w:ascii="仿宋" w:hAnsi="仿宋" w:eastAsia="仿宋" w:cs="仿宋"/>
          <w:sz w:val="30"/>
          <w:szCs w:val="30"/>
        </w:rPr>
        <w:t>实施情况分析</w:t>
      </w:r>
      <w:bookmarkEnd w:id="59"/>
    </w:p>
    <w:p>
      <w:pPr>
        <w:spacing w:line="600" w:lineRule="exact"/>
        <w:ind w:firstLine="602" w:firstLineChars="200"/>
        <w:rPr>
          <w:rFonts w:ascii="仿宋" w:hAnsi="仿宋" w:eastAsia="仿宋" w:cs="仿宋"/>
          <w:b/>
          <w:kern w:val="0"/>
          <w:szCs w:val="30"/>
        </w:rPr>
      </w:pPr>
      <w:r>
        <w:rPr>
          <w:rFonts w:hint="eastAsia" w:ascii="仿宋" w:hAnsi="仿宋" w:eastAsia="仿宋" w:cs="仿宋"/>
          <w:b/>
          <w:bCs/>
          <w:kern w:val="0"/>
          <w:szCs w:val="30"/>
        </w:rPr>
        <w:t>组织管理：</w:t>
      </w:r>
      <w:r>
        <w:rPr>
          <w:rFonts w:hint="eastAsia" w:ascii="仿宋" w:hAnsi="仿宋" w:eastAsia="仿宋" w:cs="仿宋"/>
          <w:szCs w:val="30"/>
        </w:rPr>
        <w:t>项目由县农业农村委牵头组织，6个乡镇及村委会等具体实施。县农业农村委产业科负责组织推进项目相关事项，6个乡镇均成立相关领导小组、工作小组等或明确项目主要人员及任务分工，</w:t>
      </w:r>
      <w:r>
        <w:rPr>
          <w:rFonts w:hint="eastAsia" w:ascii="仿宋" w:hAnsi="仿宋" w:eastAsia="仿宋" w:cs="仿宋"/>
          <w:kern w:val="0"/>
          <w:szCs w:val="30"/>
        </w:rPr>
        <w:t>保证项目正常推进。</w:t>
      </w:r>
      <w:r>
        <w:rPr>
          <w:rFonts w:hint="eastAsia" w:ascii="仿宋" w:hAnsi="仿宋" w:eastAsia="仿宋" w:cs="仿宋"/>
          <w:szCs w:val="30"/>
        </w:rPr>
        <w:t>组织实施机构健全、构成合理、运转有效。</w:t>
      </w:r>
    </w:p>
    <w:p>
      <w:pPr>
        <w:spacing w:line="600" w:lineRule="exact"/>
        <w:ind w:firstLine="602" w:firstLineChars="200"/>
        <w:jc w:val="left"/>
        <w:rPr>
          <w:rFonts w:ascii="仿宋" w:hAnsi="仿宋" w:eastAsia="仿宋" w:cs="仿宋"/>
          <w:b/>
          <w:bCs/>
          <w:kern w:val="0"/>
          <w:szCs w:val="30"/>
        </w:rPr>
      </w:pPr>
      <w:r>
        <w:rPr>
          <w:rFonts w:hint="eastAsia" w:ascii="仿宋" w:hAnsi="仿宋" w:eastAsia="仿宋" w:cs="仿宋"/>
          <w:b/>
          <w:kern w:val="0"/>
          <w:szCs w:val="30"/>
        </w:rPr>
        <w:t>管理制度健全性：</w:t>
      </w:r>
      <w:r>
        <w:rPr>
          <w:rFonts w:hint="eastAsia" w:ascii="仿宋" w:hAnsi="仿宋" w:eastAsia="仿宋" w:cs="仿宋"/>
          <w:bCs/>
          <w:kern w:val="0"/>
          <w:szCs w:val="30"/>
        </w:rPr>
        <w:t>县农业农村委出台了《巫溪县农业农村委员会农业项目资金管理办法》（巫溪农发〔2019〕41号）、</w:t>
      </w:r>
      <w:r>
        <w:rPr>
          <w:rFonts w:hint="eastAsia" w:ascii="仿宋" w:hAnsi="仿宋" w:eastAsia="仿宋" w:cs="仿宋"/>
          <w:bCs/>
          <w:color w:val="000000"/>
          <w:kern w:val="0"/>
          <w:szCs w:val="30"/>
        </w:rPr>
        <w:t>《巫溪县农业农村委员会农业项目管理</w:t>
      </w:r>
      <w:r>
        <w:rPr>
          <w:rFonts w:hint="eastAsia" w:ascii="仿宋" w:hAnsi="仿宋" w:eastAsia="仿宋" w:cs="仿宋"/>
          <w:bCs/>
          <w:kern w:val="0"/>
          <w:szCs w:val="30"/>
        </w:rPr>
        <w:t>办法》（巫溪农发〔2020〕129号），</w:t>
      </w:r>
      <w:r>
        <w:rPr>
          <w:rFonts w:hint="eastAsia" w:ascii="仿宋" w:hAnsi="仿宋" w:eastAsia="仿宋" w:cs="仿宋"/>
          <w:color w:val="000000"/>
          <w:szCs w:val="30"/>
        </w:rPr>
        <w:t>对项目立项、检查、验收及资金拨付等均作出了明确规定，</w:t>
      </w:r>
      <w:r>
        <w:rPr>
          <w:rFonts w:hint="eastAsia" w:ascii="仿宋" w:hAnsi="仿宋" w:eastAsia="仿宋" w:cs="仿宋"/>
          <w:bCs/>
          <w:kern w:val="0"/>
          <w:szCs w:val="30"/>
        </w:rPr>
        <w:t>项目管理制度基本健全。</w:t>
      </w:r>
    </w:p>
    <w:p>
      <w:pPr>
        <w:spacing w:line="600" w:lineRule="exact"/>
        <w:ind w:firstLine="602" w:firstLineChars="200"/>
        <w:rPr>
          <w:rFonts w:ascii="仿宋" w:hAnsi="仿宋" w:eastAsia="仿宋" w:cs="仿宋"/>
          <w:kern w:val="0"/>
          <w:szCs w:val="30"/>
        </w:rPr>
      </w:pPr>
      <w:r>
        <w:rPr>
          <w:rFonts w:hint="eastAsia" w:ascii="仿宋" w:hAnsi="仿宋" w:eastAsia="仿宋" w:cs="仿宋"/>
          <w:b/>
          <w:bCs/>
          <w:kern w:val="0"/>
          <w:szCs w:val="30"/>
        </w:rPr>
        <w:t>采购管理：第一，工程招投标及标后管理：</w:t>
      </w:r>
      <w:r>
        <w:rPr>
          <w:rFonts w:hint="eastAsia" w:ascii="仿宋" w:hAnsi="仿宋" w:eastAsia="仿宋" w:cs="仿宋"/>
          <w:kern w:val="0"/>
          <w:szCs w:val="30"/>
        </w:rPr>
        <w:t>涉及工程招投标的项目遵照相关要求通过公开招标或竞争性比选程序选取供应商，相关手续基本完善。中标单位与实际施工单位一致，截至现场评价日未发现项目实施期间发生重大工程安全事故。</w:t>
      </w:r>
      <w:r>
        <w:rPr>
          <w:rFonts w:hint="eastAsia" w:ascii="仿宋" w:hAnsi="仿宋" w:eastAsia="仿宋" w:cs="仿宋"/>
          <w:b/>
          <w:bCs/>
          <w:kern w:val="0"/>
          <w:szCs w:val="30"/>
        </w:rPr>
        <w:t>第二，合同及档案资料管理：</w:t>
      </w:r>
      <w:r>
        <w:rPr>
          <w:rFonts w:hint="eastAsia" w:ascii="仿宋" w:hAnsi="仿宋" w:eastAsia="仿宋" w:cs="仿宋"/>
          <w:kern w:val="0"/>
          <w:szCs w:val="30"/>
        </w:rPr>
        <w:t>通过查看项目资料，项目设计、施工、监理等合同齐全，但仍存在以下问题：</w:t>
      </w:r>
      <w:r>
        <w:rPr>
          <w:rFonts w:hint="eastAsia" w:ascii="仿宋" w:hAnsi="仿宋" w:eastAsia="仿宋" w:cs="仿宋"/>
          <w:b/>
          <w:bCs/>
          <w:kern w:val="0"/>
          <w:szCs w:val="30"/>
        </w:rPr>
        <w:t>一是</w:t>
      </w:r>
      <w:r>
        <w:rPr>
          <w:rFonts w:hint="eastAsia" w:ascii="仿宋" w:hAnsi="仿宋" w:eastAsia="仿宋" w:cs="仿宋"/>
          <w:kern w:val="0"/>
          <w:szCs w:val="30"/>
        </w:rPr>
        <w:t>部分乡镇及村委会合同签订不规范，如：文峰镇银峰村村民委员会与巫溪县益博养殖有限公司签订的协议书中重要内容为手写，且金额部分未设置大写，可能存在篡改合同的风险；</w:t>
      </w:r>
      <w:r>
        <w:rPr>
          <w:rFonts w:hint="eastAsia" w:ascii="仿宋" w:hAnsi="仿宋" w:eastAsia="仿宋" w:cs="仿宋"/>
          <w:b/>
          <w:bCs/>
          <w:kern w:val="0"/>
          <w:szCs w:val="30"/>
        </w:rPr>
        <w:t>二是</w:t>
      </w:r>
      <w:r>
        <w:rPr>
          <w:rFonts w:hint="eastAsia" w:ascii="仿宋" w:hAnsi="仿宋" w:eastAsia="仿宋" w:cs="仿宋"/>
          <w:kern w:val="0"/>
          <w:szCs w:val="30"/>
        </w:rPr>
        <w:t>由于项目暂未完工，项目资料未统一归档。</w:t>
      </w:r>
    </w:p>
    <w:p>
      <w:pPr>
        <w:spacing w:line="600" w:lineRule="exact"/>
        <w:ind w:firstLine="602" w:firstLineChars="200"/>
        <w:rPr>
          <w:rFonts w:ascii="仿宋" w:hAnsi="仿宋" w:eastAsia="仿宋" w:cs="仿宋"/>
          <w:kern w:val="0"/>
          <w:szCs w:val="30"/>
        </w:rPr>
      </w:pPr>
      <w:r>
        <w:rPr>
          <w:rFonts w:hint="eastAsia" w:ascii="仿宋" w:hAnsi="仿宋" w:eastAsia="仿宋" w:cs="仿宋"/>
          <w:b/>
          <w:bCs/>
          <w:kern w:val="0"/>
          <w:szCs w:val="30"/>
        </w:rPr>
        <w:t>制度执行有效性：</w:t>
      </w:r>
      <w:r>
        <w:rPr>
          <w:rFonts w:hint="eastAsia" w:ascii="仿宋" w:hAnsi="仿宋" w:eastAsia="仿宋" w:cs="仿宋"/>
          <w:kern w:val="0"/>
          <w:szCs w:val="30"/>
        </w:rPr>
        <w:t>根据各项目的项目实施方案和现场勘察情况，项目的实施基本符合相关法律法规，但仍存在以下问题：</w:t>
      </w:r>
      <w:r>
        <w:rPr>
          <w:rFonts w:hint="eastAsia" w:ascii="仿宋" w:hAnsi="仿宋" w:eastAsia="仿宋" w:cs="仿宋"/>
          <w:b/>
          <w:bCs/>
          <w:kern w:val="0"/>
          <w:szCs w:val="30"/>
        </w:rPr>
        <w:t>一是</w:t>
      </w:r>
      <w:r>
        <w:rPr>
          <w:rFonts w:hint="eastAsia" w:ascii="仿宋" w:hAnsi="仿宋" w:eastAsia="仿宋" w:cs="仿宋"/>
          <w:kern w:val="0"/>
          <w:szCs w:val="30"/>
        </w:rPr>
        <w:t>文峰镇2019年度特色产业发展项目实施方案中项目实施单位为文峰镇人民政府，负责项目具体建设，但实际采用与合作社签订股权量化协议的方式由合作社负责项目具体实施，不符合巫溪农发〔2019〕41号文件中“农业项目必须按批复的实施方案实施”的规定。</w:t>
      </w:r>
      <w:r>
        <w:rPr>
          <w:rFonts w:hint="eastAsia" w:ascii="仿宋" w:hAnsi="仿宋" w:eastAsia="仿宋" w:cs="仿宋"/>
          <w:b/>
          <w:bCs/>
          <w:color w:val="000000"/>
          <w:kern w:val="0"/>
          <w:szCs w:val="30"/>
        </w:rPr>
        <w:t>二是</w:t>
      </w:r>
      <w:r>
        <w:rPr>
          <w:rFonts w:hint="eastAsia" w:ascii="仿宋" w:hAnsi="仿宋" w:eastAsia="仿宋" w:cs="仿宋"/>
          <w:kern w:val="0"/>
          <w:szCs w:val="30"/>
        </w:rPr>
        <w:t>峰灵镇谭家村2019年度特色产业发展项目施工合同中约定“余下审定金额的3%作为质量保证金”，不符合巫溪府办发〔2019〕27号文件中“……项目资金的5%作为工程质量保证金，剩余资金拨付施工单位。”的规定。</w:t>
      </w:r>
    </w:p>
    <w:p>
      <w:pPr>
        <w:spacing w:line="600" w:lineRule="exact"/>
        <w:ind w:firstLine="602" w:firstLineChars="200"/>
        <w:rPr>
          <w:rFonts w:ascii="仿宋" w:hAnsi="仿宋" w:eastAsia="仿宋" w:cs="仿宋"/>
          <w:b/>
          <w:bCs/>
          <w:kern w:val="0"/>
          <w:szCs w:val="30"/>
        </w:rPr>
      </w:pPr>
      <w:r>
        <w:rPr>
          <w:rFonts w:hint="eastAsia" w:ascii="仿宋" w:hAnsi="仿宋" w:eastAsia="仿宋" w:cs="仿宋"/>
          <w:b/>
          <w:kern w:val="0"/>
          <w:szCs w:val="30"/>
        </w:rPr>
        <w:t>项目质量可控性：</w:t>
      </w:r>
      <w:r>
        <w:rPr>
          <w:rFonts w:hint="eastAsia" w:ascii="仿宋" w:hAnsi="仿宋" w:eastAsia="仿宋" w:cs="仿宋"/>
          <w:kern w:val="0"/>
          <w:szCs w:val="30"/>
        </w:rPr>
        <w:t>根据巫溪农发〔2019〕41号文件，“项目完成建设内容后，实施主体先进行自验，自验合格后由所在乡镇（街道）进行初验，初验合格后向县农业农村委提出验收申请......”，截至2020年8月12日，已完成项目仅进行乡镇验收，均未申请县农业农村委验收，且由于县农业农村委人员变更，在项目实施过程中未及时对项目建设情况进行监督及检查，项目质量可控性有待提高。</w:t>
      </w:r>
    </w:p>
    <w:p>
      <w:pPr>
        <w:spacing w:line="600" w:lineRule="exact"/>
        <w:ind w:firstLine="602" w:firstLineChars="200"/>
        <w:rPr>
          <w:rFonts w:ascii="仿宋" w:hAnsi="仿宋" w:eastAsia="仿宋" w:cs="仿宋"/>
          <w:b/>
          <w:kern w:val="0"/>
          <w:szCs w:val="30"/>
        </w:rPr>
      </w:pPr>
      <w:r>
        <w:rPr>
          <w:rFonts w:hint="eastAsia" w:ascii="仿宋" w:hAnsi="仿宋" w:eastAsia="仿宋" w:cs="仿宋"/>
          <w:b/>
          <w:bCs/>
          <w:kern w:val="0"/>
          <w:szCs w:val="30"/>
        </w:rPr>
        <w:t>跟踪管理：</w:t>
      </w:r>
      <w:r>
        <w:rPr>
          <w:rFonts w:hint="eastAsia" w:ascii="仿宋" w:hAnsi="仿宋" w:eastAsia="仿宋" w:cs="仿宋"/>
          <w:szCs w:val="30"/>
        </w:rPr>
        <w:t>各</w:t>
      </w:r>
      <w:r>
        <w:rPr>
          <w:rFonts w:hint="eastAsia" w:ascii="仿宋" w:hAnsi="仿宋" w:eastAsia="仿宋" w:cs="仿宋"/>
          <w:kern w:val="0"/>
          <w:szCs w:val="30"/>
        </w:rPr>
        <w:t>项目实施</w:t>
      </w:r>
      <w:r>
        <w:rPr>
          <w:rFonts w:hint="eastAsia" w:ascii="仿宋" w:hAnsi="仿宋" w:eastAsia="仿宋" w:cs="仿宋"/>
          <w:szCs w:val="30"/>
        </w:rPr>
        <w:t>乡镇均成立相关领导小组、工作小组等或明确项目主要人员及任务分工，</w:t>
      </w:r>
      <w:r>
        <w:rPr>
          <w:rFonts w:hint="eastAsia" w:ascii="仿宋" w:hAnsi="仿宋" w:eastAsia="仿宋" w:cs="仿宋"/>
          <w:kern w:val="0"/>
          <w:szCs w:val="30"/>
        </w:rPr>
        <w:t>保证项目正常推进。根据巫溪农发〔2019〕115号文件要求，“各项目实施乡镇要严格按照项目推进计划，认真组织项目实施，项目计划下达后组织实施。每月24日前向县农业农村委产业科报送项目推进情况表。”、“项目管理单位定期抽查各项目实施情况，并将有关情况及时反馈给项目指导单位以加强项目指导</w:t>
      </w:r>
      <w:r>
        <w:rPr>
          <w:rFonts w:hint="eastAsia" w:ascii="仿宋" w:hAnsi="仿宋" w:eastAsia="仿宋" w:cs="仿宋"/>
          <w:color w:val="000000"/>
          <w:kern w:val="0"/>
          <w:szCs w:val="30"/>
        </w:rPr>
        <w:t>。”但相关乡镇未</w:t>
      </w:r>
      <w:r>
        <w:rPr>
          <w:rFonts w:hint="eastAsia" w:ascii="仿宋" w:hAnsi="仿宋" w:eastAsia="仿宋" w:cs="仿宋"/>
          <w:kern w:val="0"/>
          <w:szCs w:val="30"/>
        </w:rPr>
        <w:t>向县农业农村委报送项目推进情况表，同时县农业农村委仅不定期口头了解项目情况，未定期对项目的实施进行跟踪检查并形成过程资料，无法准确掌握项目实施情况，对建设进度滞后项目未进行督促及跟进。</w:t>
      </w:r>
    </w:p>
    <w:bookmarkEnd w:id="54"/>
    <w:p>
      <w:pPr>
        <w:pStyle w:val="25"/>
        <w:spacing w:beforeLines="0" w:afterLines="0" w:line="600" w:lineRule="exact"/>
        <w:ind w:firstLine="602" w:firstLineChars="200"/>
        <w:rPr>
          <w:rFonts w:ascii="仿宋" w:hAnsi="仿宋" w:eastAsia="仿宋" w:cs="仿宋"/>
          <w:sz w:val="30"/>
          <w:szCs w:val="30"/>
        </w:rPr>
      </w:pPr>
      <w:bookmarkStart w:id="60" w:name="_Toc17587248"/>
      <w:bookmarkStart w:id="61" w:name="_Toc7975"/>
      <w:bookmarkStart w:id="62" w:name="_Toc2805"/>
      <w:bookmarkStart w:id="63" w:name="_Toc26142"/>
      <w:bookmarkStart w:id="64" w:name="_Toc18726"/>
      <w:bookmarkStart w:id="65" w:name="_Toc25092"/>
      <w:r>
        <w:rPr>
          <w:rFonts w:hint="eastAsia" w:ascii="仿宋" w:hAnsi="仿宋" w:eastAsia="仿宋" w:cs="仿宋"/>
          <w:sz w:val="30"/>
          <w:szCs w:val="30"/>
        </w:rPr>
        <w:t>（</w:t>
      </w:r>
      <w:r>
        <w:rPr>
          <w:rFonts w:hint="eastAsia" w:ascii="仿宋" w:hAnsi="仿宋" w:eastAsia="仿宋" w:cs="仿宋"/>
          <w:sz w:val="30"/>
          <w:szCs w:val="30"/>
          <w:lang w:eastAsia="zh-CN"/>
        </w:rPr>
        <w:t>四</w:t>
      </w:r>
      <w:r>
        <w:rPr>
          <w:rFonts w:hint="eastAsia" w:ascii="仿宋" w:hAnsi="仿宋" w:eastAsia="仿宋" w:cs="仿宋"/>
          <w:sz w:val="30"/>
          <w:szCs w:val="30"/>
        </w:rPr>
        <w:t>）</w:t>
      </w:r>
      <w:bookmarkEnd w:id="60"/>
      <w:bookmarkEnd w:id="61"/>
      <w:bookmarkEnd w:id="62"/>
      <w:bookmarkEnd w:id="63"/>
      <w:bookmarkEnd w:id="64"/>
      <w:r>
        <w:rPr>
          <w:rFonts w:hint="eastAsia" w:ascii="仿宋" w:hAnsi="仿宋" w:eastAsia="仿宋" w:cs="仿宋"/>
          <w:sz w:val="30"/>
          <w:szCs w:val="30"/>
        </w:rPr>
        <w:t>项目绩效情况分析</w:t>
      </w:r>
      <w:bookmarkEnd w:id="65"/>
    </w:p>
    <w:p>
      <w:pPr>
        <w:spacing w:before="50" w:after="50" w:line="600" w:lineRule="exact"/>
        <w:ind w:firstLine="602" w:firstLineChars="200"/>
        <w:rPr>
          <w:rFonts w:ascii="仿宋" w:hAnsi="仿宋" w:eastAsia="仿宋" w:cs="仿宋"/>
          <w:b/>
          <w:kern w:val="0"/>
          <w:szCs w:val="30"/>
        </w:rPr>
      </w:pPr>
      <w:r>
        <w:rPr>
          <w:rFonts w:hint="eastAsia" w:ascii="仿宋" w:hAnsi="仿宋" w:eastAsia="仿宋" w:cs="仿宋"/>
          <w:b/>
          <w:szCs w:val="30"/>
        </w:rPr>
        <w:t>1.项目完成情况分析</w:t>
      </w:r>
    </w:p>
    <w:p>
      <w:pPr>
        <w:pStyle w:val="5"/>
        <w:spacing w:line="600" w:lineRule="exact"/>
        <w:ind w:firstLine="602" w:firstLineChars="200"/>
        <w:rPr>
          <w:rFonts w:ascii="仿宋" w:hAnsi="仿宋" w:eastAsia="仿宋" w:cs="仿宋"/>
          <w:kern w:val="0"/>
          <w:sz w:val="30"/>
          <w:szCs w:val="30"/>
        </w:rPr>
      </w:pPr>
      <w:r>
        <w:rPr>
          <w:rFonts w:hint="eastAsia" w:ascii="仿宋" w:hAnsi="仿宋" w:eastAsia="仿宋" w:cs="仿宋"/>
          <w:b/>
          <w:bCs/>
          <w:kern w:val="0"/>
          <w:sz w:val="30"/>
          <w:szCs w:val="30"/>
        </w:rPr>
        <w:t>建设完成率：</w:t>
      </w:r>
      <w:r>
        <w:rPr>
          <w:rFonts w:hint="eastAsia" w:ascii="仿宋" w:hAnsi="仿宋" w:eastAsia="仿宋" w:cs="仿宋"/>
          <w:kern w:val="0"/>
          <w:sz w:val="30"/>
          <w:szCs w:val="30"/>
        </w:rPr>
        <w:t>根据巫溪农发〔2019〕115号文件及各项目实施方案，截至2020年8月12日，应有4个子项目完成建设。根据现场走访情况，2个子项目已完成，2个子项目建设进度滞后，建设完成率为50%。</w:t>
      </w:r>
    </w:p>
    <w:p>
      <w:pPr>
        <w:spacing w:line="600" w:lineRule="exact"/>
        <w:ind w:firstLine="602" w:firstLineChars="200"/>
        <w:rPr>
          <w:rFonts w:ascii="仿宋" w:hAnsi="仿宋" w:eastAsia="仿宋" w:cs="仿宋"/>
          <w:bCs/>
          <w:kern w:val="0"/>
          <w:szCs w:val="30"/>
        </w:rPr>
      </w:pPr>
      <w:r>
        <w:rPr>
          <w:rFonts w:hint="eastAsia" w:ascii="仿宋" w:hAnsi="仿宋" w:eastAsia="仿宋" w:cs="仿宋"/>
          <w:b/>
          <w:kern w:val="0"/>
          <w:szCs w:val="30"/>
        </w:rPr>
        <w:t>质量达标率：</w:t>
      </w:r>
      <w:r>
        <w:rPr>
          <w:rFonts w:hint="eastAsia" w:ascii="仿宋" w:hAnsi="仿宋" w:eastAsia="仿宋" w:cs="仿宋"/>
          <w:bCs/>
          <w:kern w:val="0"/>
          <w:szCs w:val="30"/>
        </w:rPr>
        <w:t>根据项目档案及现场查看情况，已完成项目均已通过村委会自查验收及乡镇验收小组复验合格，通过现场走访及问卷调查，未发现质量存在重大瑕疵的情况。</w:t>
      </w:r>
    </w:p>
    <w:p>
      <w:pPr>
        <w:spacing w:line="600" w:lineRule="exact"/>
        <w:ind w:firstLine="602" w:firstLineChars="200"/>
        <w:rPr>
          <w:rFonts w:ascii="仿宋" w:hAnsi="仿宋" w:eastAsia="仿宋" w:cs="仿宋"/>
          <w:bCs/>
          <w:kern w:val="0"/>
          <w:szCs w:val="30"/>
        </w:rPr>
      </w:pPr>
      <w:bookmarkStart w:id="66" w:name="_Toc24516"/>
      <w:bookmarkStart w:id="67" w:name="_Toc17587249"/>
      <w:r>
        <w:rPr>
          <w:rFonts w:hint="eastAsia" w:ascii="仿宋" w:hAnsi="仿宋" w:eastAsia="仿宋" w:cs="仿宋"/>
          <w:b/>
          <w:kern w:val="0"/>
          <w:szCs w:val="30"/>
        </w:rPr>
        <w:t>建设及时率：</w:t>
      </w:r>
      <w:r>
        <w:rPr>
          <w:rFonts w:hint="eastAsia" w:ascii="仿宋" w:hAnsi="仿宋" w:eastAsia="仿宋" w:cs="仿宋"/>
          <w:bCs/>
          <w:kern w:val="0"/>
          <w:szCs w:val="30"/>
        </w:rPr>
        <w:t>根据项目档案及现场查看情况，6个子项目中4个子项目建设进度滞后，建设及时率为33.33%。建设情况详见下表：</w:t>
      </w:r>
    </w:p>
    <w:p>
      <w:pPr>
        <w:pStyle w:val="5"/>
        <w:jc w:val="center"/>
        <w:rPr>
          <w:b/>
          <w:sz w:val="30"/>
          <w:szCs w:val="30"/>
        </w:rPr>
      </w:pPr>
      <w:r>
        <w:rPr>
          <w:rFonts w:hint="eastAsia" w:ascii="仿宋" w:hAnsi="仿宋" w:eastAsia="仿宋"/>
          <w:b/>
          <w:kern w:val="0"/>
          <w:sz w:val="30"/>
          <w:szCs w:val="30"/>
        </w:rPr>
        <w:t>产业发展项目建设情况表</w:t>
      </w:r>
    </w:p>
    <w:tbl>
      <w:tblPr>
        <w:tblStyle w:val="12"/>
        <w:tblW w:w="8479" w:type="dxa"/>
        <w:jc w:val="center"/>
        <w:tblLayout w:type="fixed"/>
        <w:tblCellMar>
          <w:top w:w="0" w:type="dxa"/>
          <w:left w:w="0" w:type="dxa"/>
          <w:bottom w:w="0" w:type="dxa"/>
          <w:right w:w="0" w:type="dxa"/>
        </w:tblCellMar>
      </w:tblPr>
      <w:tblGrid>
        <w:gridCol w:w="460"/>
        <w:gridCol w:w="1421"/>
        <w:gridCol w:w="2043"/>
        <w:gridCol w:w="1930"/>
        <w:gridCol w:w="840"/>
        <w:gridCol w:w="900"/>
        <w:gridCol w:w="885"/>
      </w:tblGrid>
      <w:tr>
        <w:tblPrEx>
          <w:tblCellMar>
            <w:top w:w="0" w:type="dxa"/>
            <w:left w:w="0" w:type="dxa"/>
            <w:bottom w:w="0" w:type="dxa"/>
            <w:right w:w="0" w:type="dxa"/>
          </w:tblCellMar>
        </w:tblPrEx>
        <w:trPr>
          <w:trHeight w:val="868" w:hRule="atLeast"/>
          <w:tblHeader/>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序号</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项目名称</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计划建设进度</w:t>
            </w:r>
          </w:p>
        </w:tc>
        <w:tc>
          <w:tcPr>
            <w:tcW w:w="193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实际建设进度</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b/>
                <w:color w:val="000000"/>
                <w:kern w:val="0"/>
                <w:sz w:val="24"/>
              </w:rPr>
            </w:pPr>
            <w:r>
              <w:rPr>
                <w:rFonts w:hint="eastAsia" w:ascii="仿宋" w:hAnsi="仿宋" w:eastAsia="仿宋" w:cs="仿宋"/>
                <w:b/>
                <w:color w:val="000000"/>
                <w:kern w:val="0"/>
                <w:sz w:val="24"/>
              </w:rPr>
              <w:t>完成</w:t>
            </w:r>
          </w:p>
          <w:p>
            <w:pPr>
              <w:widowControl/>
              <w:jc w:val="center"/>
              <w:textAlignment w:val="center"/>
              <w:rPr>
                <w:rFonts w:ascii="仿宋" w:hAnsi="仿宋" w:eastAsia="仿宋" w:cs="仿宋"/>
                <w:b/>
                <w:color w:val="000000"/>
                <w:kern w:val="0"/>
                <w:sz w:val="24"/>
              </w:rPr>
            </w:pPr>
            <w:r>
              <w:rPr>
                <w:rFonts w:hint="eastAsia" w:ascii="仿宋" w:hAnsi="仿宋" w:eastAsia="仿宋" w:cs="仿宋"/>
                <w:b/>
                <w:color w:val="000000"/>
                <w:kern w:val="0"/>
                <w:sz w:val="24"/>
              </w:rPr>
              <w:t>状态</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b/>
                <w:color w:val="000000"/>
                <w:kern w:val="0"/>
                <w:sz w:val="24"/>
              </w:rPr>
            </w:pPr>
            <w:r>
              <w:rPr>
                <w:rFonts w:hint="eastAsia" w:ascii="仿宋" w:hAnsi="仿宋" w:eastAsia="仿宋" w:cs="仿宋"/>
                <w:b/>
                <w:color w:val="000000"/>
                <w:kern w:val="0"/>
                <w:sz w:val="24"/>
              </w:rPr>
              <w:t>建设进度是否滞后</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b/>
                <w:color w:val="000000"/>
                <w:kern w:val="0"/>
                <w:sz w:val="24"/>
              </w:rPr>
            </w:pPr>
            <w:r>
              <w:rPr>
                <w:rFonts w:hint="eastAsia" w:ascii="仿宋" w:hAnsi="仿宋" w:eastAsia="仿宋" w:cs="仿宋"/>
                <w:b/>
                <w:color w:val="000000"/>
                <w:kern w:val="0"/>
                <w:sz w:val="24"/>
              </w:rPr>
              <w:t>备注</w:t>
            </w:r>
          </w:p>
        </w:tc>
      </w:tr>
      <w:tr>
        <w:tblPrEx>
          <w:tblCellMar>
            <w:top w:w="0" w:type="dxa"/>
            <w:left w:w="0" w:type="dxa"/>
            <w:bottom w:w="0" w:type="dxa"/>
            <w:right w:w="0" w:type="dxa"/>
          </w:tblCellMar>
        </w:tblPrEx>
        <w:trPr>
          <w:trHeight w:val="723"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巫溪县峰灵镇谭家村2019年度特色产业发展项目</w:t>
            </w:r>
          </w:p>
        </w:tc>
        <w:tc>
          <w:tcPr>
            <w:tcW w:w="204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2020年6月完工，7月申请验收。</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截至2020年8月12日，园林工程部分未完工，智能监控未联网。</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未完成</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年初疫情及天气影响</w:t>
            </w:r>
          </w:p>
        </w:tc>
      </w:tr>
      <w:tr>
        <w:tblPrEx>
          <w:tblCellMar>
            <w:top w:w="0" w:type="dxa"/>
            <w:left w:w="0" w:type="dxa"/>
            <w:bottom w:w="0" w:type="dxa"/>
            <w:right w:w="0" w:type="dxa"/>
          </w:tblCellMar>
        </w:tblPrEx>
        <w:trPr>
          <w:trHeight w:val="1174"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巫溪县城厢镇酒泉村2019年度特色产业发展项目</w:t>
            </w:r>
          </w:p>
        </w:tc>
        <w:tc>
          <w:tcPr>
            <w:tcW w:w="204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2019年12月完成基础设施建设及农机农具购买，2020年-2021年进行后期管护。</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2019年年底已完成基础设施建设及农机农具购买，目前处于管护阶段。</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未完成</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否</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目前处于管护阶段</w:t>
            </w:r>
          </w:p>
        </w:tc>
      </w:tr>
      <w:tr>
        <w:tblPrEx>
          <w:tblCellMar>
            <w:top w:w="0" w:type="dxa"/>
            <w:left w:w="0" w:type="dxa"/>
            <w:bottom w:w="0" w:type="dxa"/>
            <w:right w:w="0" w:type="dxa"/>
          </w:tblCellMar>
        </w:tblPrEx>
        <w:trPr>
          <w:trHeight w:val="643"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巫溪县红池坝镇茶山村2019年度特色产业发展项目</w:t>
            </w:r>
          </w:p>
        </w:tc>
        <w:tc>
          <w:tcPr>
            <w:tcW w:w="204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2019年12月20日完工并申请验收。</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2020年6月完工，已经红池坝镇政府验收。</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已完成</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958"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巫溪县凤凰镇石龙村2019年度特色产业发展项目</w:t>
            </w:r>
          </w:p>
        </w:tc>
        <w:tc>
          <w:tcPr>
            <w:tcW w:w="204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2020年5月完成定植栽培，2020年 11月完成管护。</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2020年2月已完成定植栽培，目前处于管护阶段。</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未完成</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否</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目前处于管护阶段</w:t>
            </w:r>
          </w:p>
        </w:tc>
      </w:tr>
      <w:tr>
        <w:tblPrEx>
          <w:tblCellMar>
            <w:top w:w="0" w:type="dxa"/>
            <w:left w:w="0" w:type="dxa"/>
            <w:bottom w:w="0" w:type="dxa"/>
            <w:right w:w="0" w:type="dxa"/>
          </w:tblCellMar>
        </w:tblPrEx>
        <w:trPr>
          <w:trHeight w:val="143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sz w:val="24"/>
                <w:highlight w:val="yellow"/>
              </w:rPr>
            </w:pPr>
            <w:r>
              <w:rPr>
                <w:rFonts w:hint="eastAsia" w:ascii="仿宋" w:hAnsi="仿宋" w:eastAsia="仿宋" w:cs="仿宋"/>
                <w:color w:val="000000"/>
                <w:kern w:val="0"/>
                <w:sz w:val="24"/>
              </w:rPr>
              <w:t>巫溪县古路镇观峰村2019年度特色产业发展项目</w:t>
            </w:r>
          </w:p>
        </w:tc>
        <w:tc>
          <w:tcPr>
            <w:tcW w:w="204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项目评审通过后一周内签订协议，资金到观峰村账上后一周内兑付资金。</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此项目于2019年9月4日下达建设任务，于2019年12月7日签订协议。</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kern w:val="0"/>
                <w:sz w:val="24"/>
                <w:highlight w:val="yellow"/>
              </w:rPr>
            </w:pPr>
            <w:r>
              <w:rPr>
                <w:rFonts w:hint="eastAsia" w:ascii="仿宋" w:hAnsi="仿宋" w:eastAsia="仿宋" w:cs="仿宋"/>
                <w:color w:val="000000"/>
                <w:kern w:val="0"/>
                <w:sz w:val="24"/>
              </w:rPr>
              <w:t>已完成</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kern w:val="0"/>
                <w:sz w:val="24"/>
                <w:highlight w:val="yellow"/>
              </w:rPr>
            </w:pPr>
            <w:r>
              <w:rPr>
                <w:rFonts w:hint="eastAsia" w:ascii="仿宋" w:hAnsi="仿宋" w:eastAsia="仿宋" w:cs="仿宋"/>
                <w:color w:val="000000"/>
                <w:kern w:val="0"/>
                <w:sz w:val="24"/>
              </w:rPr>
              <w:t>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732"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6</w:t>
            </w:r>
          </w:p>
        </w:tc>
        <w:tc>
          <w:tcPr>
            <w:tcW w:w="142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巫溪县文峰镇2019年度特色产业发展项目</w:t>
            </w:r>
          </w:p>
        </w:tc>
        <w:tc>
          <w:tcPr>
            <w:tcW w:w="2043"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2019年10月25日完成中蜂养殖500箱，圈舍建设500平方米，蓄水池200立方米，黄牛存栏80头饲料种植300亩。</w:t>
            </w:r>
          </w:p>
        </w:tc>
        <w:tc>
          <w:tcPr>
            <w:tcW w:w="193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2020年6月完成已圈舍建设，蓄水池建设，饲料种植，黄牛存栏部分，中蜂养殖目前仅有200箱。</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未完成</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是</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sz w:val="24"/>
              </w:rPr>
              <w:t>计划5年内达到500箱</w:t>
            </w:r>
          </w:p>
        </w:tc>
      </w:tr>
      <w:bookmarkEnd w:id="66"/>
      <w:bookmarkEnd w:id="67"/>
    </w:tbl>
    <w:p>
      <w:pPr>
        <w:spacing w:beforeLines="50" w:afterLines="50" w:line="600" w:lineRule="exact"/>
        <w:ind w:firstLine="602" w:firstLineChars="200"/>
        <w:rPr>
          <w:rFonts w:ascii="仿宋" w:hAnsi="仿宋" w:eastAsia="仿宋" w:cs="仿宋"/>
          <w:b/>
          <w:szCs w:val="30"/>
        </w:rPr>
      </w:pPr>
      <w:bookmarkStart w:id="68" w:name="_Toc415756500"/>
      <w:bookmarkStart w:id="69" w:name="_Toc313641002"/>
      <w:r>
        <w:rPr>
          <w:rFonts w:hint="eastAsia" w:ascii="仿宋" w:hAnsi="仿宋" w:eastAsia="仿宋" w:cs="仿宋"/>
          <w:b/>
          <w:szCs w:val="30"/>
        </w:rPr>
        <w:t>2.项目的效益性分析</w:t>
      </w:r>
    </w:p>
    <w:p>
      <w:pPr>
        <w:spacing w:beforeLines="50" w:afterLines="50" w:line="600" w:lineRule="exact"/>
        <w:ind w:firstLine="602" w:firstLineChars="200"/>
        <w:rPr>
          <w:rFonts w:ascii="仿宋" w:hAnsi="仿宋" w:eastAsia="仿宋"/>
          <w:b/>
          <w:bCs/>
          <w:kern w:val="0"/>
          <w:szCs w:val="30"/>
        </w:rPr>
      </w:pPr>
      <w:r>
        <w:rPr>
          <w:rFonts w:hint="eastAsia" w:ascii="仿宋" w:hAnsi="仿宋" w:eastAsia="仿宋"/>
          <w:b/>
          <w:bCs/>
          <w:kern w:val="0"/>
          <w:szCs w:val="30"/>
        </w:rPr>
        <w:t>（1）经济效益</w:t>
      </w:r>
    </w:p>
    <w:p>
      <w:pPr>
        <w:spacing w:line="600" w:lineRule="exact"/>
        <w:ind w:firstLine="600" w:firstLineChars="200"/>
        <w:rPr>
          <w:rFonts w:ascii="仿宋" w:hAnsi="仿宋" w:eastAsia="仿宋"/>
          <w:color w:val="000000" w:themeColor="text1"/>
          <w:szCs w:val="30"/>
        </w:rPr>
      </w:pPr>
      <w:r>
        <w:rPr>
          <w:rFonts w:hint="eastAsia" w:ascii="仿宋" w:hAnsi="仿宋" w:eastAsia="仿宋"/>
          <w:bCs/>
          <w:kern w:val="0"/>
          <w:szCs w:val="30"/>
        </w:rPr>
        <w:t>通过项目的实施，有效地改善了农户的生产生活条件，拓宽了村民收入来源，促进了当地农民通过流转土地分红、就近务工等方式获取收入，增加农户收入的同时带动贫困户按期脱贫越线、增收致富，为脱贫攻坚、实现全面小康打下基础，但由于项目还处于投入期，部分分红资金未分到农户手中，经济效益暂未完全体现。</w:t>
      </w:r>
    </w:p>
    <w:p>
      <w:pPr>
        <w:spacing w:beforeLines="50" w:afterLines="50" w:line="600" w:lineRule="exact"/>
        <w:ind w:firstLine="602" w:firstLineChars="200"/>
        <w:rPr>
          <w:rFonts w:ascii="仿宋" w:hAnsi="仿宋" w:eastAsia="仿宋"/>
          <w:b/>
          <w:bCs/>
          <w:kern w:val="0"/>
          <w:szCs w:val="30"/>
        </w:rPr>
      </w:pPr>
      <w:bookmarkStart w:id="70" w:name="_Toc17587251"/>
      <w:r>
        <w:rPr>
          <w:rFonts w:hint="eastAsia" w:ascii="仿宋" w:hAnsi="仿宋" w:eastAsia="仿宋"/>
          <w:b/>
          <w:bCs/>
          <w:kern w:val="0"/>
          <w:szCs w:val="30"/>
        </w:rPr>
        <w:t>（2）社会效益</w:t>
      </w:r>
    </w:p>
    <w:p>
      <w:pPr>
        <w:spacing w:line="600" w:lineRule="exact"/>
        <w:ind w:firstLine="600" w:firstLineChars="200"/>
        <w:rPr>
          <w:rFonts w:ascii="仿宋" w:hAnsi="仿宋" w:eastAsia="仿宋"/>
          <w:bCs/>
          <w:kern w:val="0"/>
          <w:szCs w:val="30"/>
        </w:rPr>
      </w:pPr>
      <w:r>
        <w:rPr>
          <w:rFonts w:hint="eastAsia" w:ascii="仿宋" w:hAnsi="仿宋" w:eastAsia="仿宋"/>
          <w:bCs/>
          <w:kern w:val="0"/>
          <w:szCs w:val="30"/>
        </w:rPr>
        <w:t>通过项目实施，有效地促进巫溪县产业发展，</w:t>
      </w:r>
      <w:r>
        <w:rPr>
          <w:rFonts w:hint="eastAsia" w:ascii="仿宋" w:hAnsi="仿宋" w:eastAsia="仿宋" w:cs="仿宋"/>
          <w:szCs w:val="30"/>
        </w:rPr>
        <w:t>改善区域内农业生态环境，活跃农耕文化，</w:t>
      </w:r>
      <w:r>
        <w:rPr>
          <w:rFonts w:hint="eastAsia" w:ascii="仿宋" w:hAnsi="仿宋" w:eastAsia="仿宋"/>
          <w:bCs/>
          <w:kern w:val="0"/>
          <w:szCs w:val="30"/>
        </w:rPr>
        <w:t>调动农民种植、养殖积极性，解决农村剩余劳动力问题，促进大量农民工返乡创业、务工，通过</w:t>
      </w:r>
      <w:r>
        <w:rPr>
          <w:rFonts w:hint="eastAsia" w:ascii="仿宋" w:hAnsi="仿宋" w:eastAsia="仿宋"/>
          <w:color w:val="000000" w:themeColor="text1"/>
          <w:szCs w:val="30"/>
        </w:rPr>
        <w:t>聘请村民完成后期维护，进行除草、施肥等工作，增加了就业机会，</w:t>
      </w:r>
      <w:r>
        <w:rPr>
          <w:rFonts w:hint="eastAsia" w:ascii="仿宋" w:hAnsi="仿宋" w:eastAsia="仿宋"/>
          <w:bCs/>
          <w:kern w:val="0"/>
          <w:szCs w:val="30"/>
        </w:rPr>
        <w:t>可解决建卡贫困户优先就近务工。项目实施对于缓解社会就业压力和农村劳动力过剩现象具有积极的作用。</w:t>
      </w:r>
    </w:p>
    <w:bookmarkEnd w:id="70"/>
    <w:p>
      <w:pPr>
        <w:spacing w:beforeLines="50" w:afterLines="50" w:line="600" w:lineRule="exact"/>
        <w:ind w:firstLine="602" w:firstLineChars="200"/>
        <w:rPr>
          <w:rFonts w:ascii="仿宋" w:hAnsi="仿宋" w:eastAsia="仿宋"/>
          <w:b/>
          <w:bCs/>
          <w:kern w:val="0"/>
          <w:szCs w:val="30"/>
        </w:rPr>
      </w:pPr>
      <w:r>
        <w:rPr>
          <w:rFonts w:hint="eastAsia" w:ascii="仿宋" w:hAnsi="仿宋" w:eastAsia="仿宋"/>
          <w:b/>
          <w:bCs/>
          <w:kern w:val="0"/>
          <w:szCs w:val="30"/>
        </w:rPr>
        <w:t>（3）可持续影响</w:t>
      </w:r>
    </w:p>
    <w:p>
      <w:pPr>
        <w:spacing w:line="600" w:lineRule="exact"/>
        <w:ind w:firstLine="600" w:firstLineChars="200"/>
        <w:rPr>
          <w:rFonts w:ascii="仿宋" w:hAnsi="仿宋" w:eastAsia="仿宋"/>
          <w:bCs/>
          <w:kern w:val="0"/>
          <w:szCs w:val="30"/>
        </w:rPr>
      </w:pPr>
      <w:r>
        <w:rPr>
          <w:rFonts w:hint="eastAsia" w:ascii="仿宋" w:hAnsi="仿宋" w:eastAsia="仿宋"/>
          <w:bCs/>
          <w:kern w:val="0"/>
          <w:szCs w:val="30"/>
        </w:rPr>
        <w:t>十八大以来，中央把精准扶贫、脱贫攻坚放到治国理政的重要位置，纳入“四个全面”战略布局。项目通过乡镇、村委会因地制宜、精准施策等统一实施，依托市场主体，发展果树苗木等特色产业，真正让村民成为特色产业发展的参与者和受益者，有效地帮助贫困人口发展产业，激励贫困户自力更生。项目的实施提升了贫困户自身造血能力，从根本上持续性带动贫困户脱贫致富增收，为促进县域经济发展，助力脱贫攻坚决战决胜提供有力支撑。</w:t>
      </w:r>
    </w:p>
    <w:p>
      <w:pPr>
        <w:spacing w:beforeLines="50" w:afterLines="50" w:line="600" w:lineRule="exact"/>
        <w:ind w:firstLine="602" w:firstLineChars="200"/>
        <w:rPr>
          <w:rFonts w:ascii="仿宋" w:hAnsi="仿宋" w:eastAsia="仿宋"/>
          <w:b/>
          <w:bCs/>
          <w:kern w:val="0"/>
          <w:szCs w:val="30"/>
        </w:rPr>
      </w:pPr>
      <w:bookmarkStart w:id="71" w:name="_Toc17587252"/>
      <w:r>
        <w:rPr>
          <w:rFonts w:hint="eastAsia" w:ascii="仿宋" w:hAnsi="仿宋" w:eastAsia="仿宋"/>
          <w:b/>
          <w:bCs/>
          <w:kern w:val="0"/>
          <w:szCs w:val="30"/>
        </w:rPr>
        <w:t>（4）满意度</w:t>
      </w:r>
      <w:bookmarkEnd w:id="71"/>
    </w:p>
    <w:p>
      <w:pPr>
        <w:spacing w:line="600" w:lineRule="exact"/>
        <w:ind w:firstLine="600" w:firstLineChars="200"/>
        <w:rPr>
          <w:rFonts w:ascii="仿宋" w:hAnsi="仿宋" w:eastAsia="仿宋"/>
          <w:szCs w:val="30"/>
        </w:rPr>
      </w:pPr>
      <w:r>
        <w:rPr>
          <w:rFonts w:hint="eastAsia" w:ascii="仿宋" w:hAnsi="仿宋" w:eastAsia="仿宋"/>
          <w:szCs w:val="30"/>
        </w:rPr>
        <w:t>根据对产业发展项目受益村民满意度的问卷调查结果显示，本次通过电话问卷共收集有效调查记录50份。经统计，92.50%的人员对该项目的实施结果表示满意，7.50%的人员表示不满意。不满意的主要原因为：部分村民为老年人，对项目了解程度不够；认为土地流转金价格较低等。</w:t>
      </w:r>
    </w:p>
    <w:p>
      <w:pPr>
        <w:spacing w:beforeLines="50" w:afterLines="50" w:line="600" w:lineRule="exact"/>
        <w:ind w:firstLine="602" w:firstLineChars="200"/>
        <w:jc w:val="center"/>
        <w:rPr>
          <w:rFonts w:ascii="仿宋" w:hAnsi="仿宋" w:eastAsia="仿宋"/>
          <w:b/>
          <w:szCs w:val="30"/>
        </w:rPr>
      </w:pPr>
      <w:r>
        <w:rPr>
          <w:rFonts w:hint="eastAsia" w:ascii="仿宋" w:hAnsi="仿宋" w:eastAsia="仿宋" w:cs="仿宋"/>
          <w:b/>
          <w:color w:val="000000"/>
          <w:kern w:val="0"/>
          <w:szCs w:val="30"/>
        </w:rPr>
        <w:t>产业发展项目满意度调查情况表</w:t>
      </w:r>
    </w:p>
    <w:tbl>
      <w:tblPr>
        <w:tblStyle w:val="12"/>
        <w:tblW w:w="6949" w:type="dxa"/>
        <w:jc w:val="center"/>
        <w:tblLayout w:type="fixed"/>
        <w:tblCellMar>
          <w:top w:w="0" w:type="dxa"/>
          <w:left w:w="0" w:type="dxa"/>
          <w:bottom w:w="0" w:type="dxa"/>
          <w:right w:w="0" w:type="dxa"/>
        </w:tblCellMar>
      </w:tblPr>
      <w:tblGrid>
        <w:gridCol w:w="765"/>
        <w:gridCol w:w="2649"/>
        <w:gridCol w:w="2580"/>
        <w:gridCol w:w="955"/>
      </w:tblGrid>
      <w:tr>
        <w:tblPrEx>
          <w:tblCellMar>
            <w:top w:w="0" w:type="dxa"/>
            <w:left w:w="0" w:type="dxa"/>
            <w:bottom w:w="0" w:type="dxa"/>
            <w:right w:w="0" w:type="dxa"/>
          </w:tblCellMar>
        </w:tblPrEx>
        <w:trPr>
          <w:trHeight w:val="288" w:hRule="atLeast"/>
          <w:tblHeader/>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序号</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 xml:space="preserve">类 </w:t>
            </w:r>
            <w:r>
              <w:rPr>
                <w:rStyle w:val="65"/>
                <w:rFonts w:hint="default"/>
                <w:sz w:val="24"/>
                <w:szCs w:val="24"/>
              </w:rPr>
              <w:t xml:space="preserve"> 型</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满意度</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b/>
                <w:color w:val="000000"/>
                <w:kern w:val="0"/>
                <w:sz w:val="24"/>
              </w:rPr>
            </w:pPr>
            <w:r>
              <w:rPr>
                <w:rFonts w:hint="eastAsia" w:ascii="仿宋" w:hAnsi="仿宋" w:eastAsia="仿宋" w:cs="仿宋"/>
                <w:b/>
                <w:color w:val="000000"/>
                <w:kern w:val="0"/>
                <w:sz w:val="24"/>
              </w:rPr>
              <w:t>备注</w:t>
            </w:r>
          </w:p>
        </w:tc>
      </w:tr>
      <w:tr>
        <w:tblPrEx>
          <w:tblCellMar>
            <w:top w:w="0" w:type="dxa"/>
            <w:left w:w="0" w:type="dxa"/>
            <w:bottom w:w="0" w:type="dxa"/>
            <w:right w:w="0" w:type="dxa"/>
          </w:tblCellMar>
        </w:tblPrEx>
        <w:trPr>
          <w:trHeight w:val="288"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项目的了解情况</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80%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288"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对家庭收入的影响</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90%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302"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项目支出公示度</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100%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288"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sz w:val="24"/>
              </w:rPr>
              <w:t>对项目的满意度</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100%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288" w:hRule="atLeast"/>
          <w:jc w:val="center"/>
        </w:trPr>
        <w:tc>
          <w:tcPr>
            <w:tcW w:w="34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b/>
                <w:color w:val="000000"/>
                <w:kern w:val="0"/>
                <w:sz w:val="24"/>
              </w:rPr>
              <w:t>综合满意度</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b/>
                <w:color w:val="000000"/>
                <w:kern w:val="0"/>
                <w:sz w:val="24"/>
              </w:rPr>
              <w:t>92.50%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仿宋" w:hAnsi="仿宋" w:eastAsia="仿宋" w:cs="仿宋"/>
                <w:color w:val="000000"/>
                <w:kern w:val="0"/>
                <w:sz w:val="24"/>
              </w:rPr>
            </w:pPr>
          </w:p>
        </w:tc>
      </w:tr>
    </w:tbl>
    <w:p>
      <w:pPr>
        <w:keepNext/>
        <w:keepLines/>
        <w:spacing w:beforeLines="50" w:afterLines="50" w:line="600" w:lineRule="exact"/>
        <w:ind w:firstLine="643" w:firstLineChars="200"/>
        <w:outlineLvl w:val="0"/>
        <w:rPr>
          <w:rFonts w:ascii="黑体" w:hAnsi="黑体" w:eastAsia="黑体" w:cs="黑体"/>
          <w:b/>
          <w:bCs/>
          <w:kern w:val="44"/>
          <w:sz w:val="32"/>
          <w:szCs w:val="32"/>
        </w:rPr>
      </w:pPr>
      <w:bookmarkStart w:id="72" w:name="_Toc16920"/>
      <w:bookmarkStart w:id="73" w:name="_Toc8998"/>
      <w:bookmarkStart w:id="74" w:name="_Toc19799"/>
      <w:bookmarkStart w:id="75" w:name="_Toc9020"/>
      <w:bookmarkStart w:id="76" w:name="_Toc8315"/>
      <w:bookmarkStart w:id="77" w:name="_Toc28666"/>
      <w:bookmarkStart w:id="78" w:name="_Toc13378"/>
      <w:r>
        <w:rPr>
          <w:rFonts w:hint="eastAsia" w:ascii="黑体" w:hAnsi="黑体" w:eastAsia="黑体" w:cs="黑体"/>
          <w:b/>
          <w:bCs/>
          <w:kern w:val="44"/>
          <w:sz w:val="32"/>
          <w:szCs w:val="32"/>
        </w:rPr>
        <w:t>四、项目绩效管理情况</w:t>
      </w:r>
      <w:bookmarkEnd w:id="72"/>
      <w:bookmarkEnd w:id="73"/>
      <w:bookmarkEnd w:id="74"/>
      <w:bookmarkEnd w:id="75"/>
      <w:bookmarkEnd w:id="76"/>
      <w:bookmarkEnd w:id="77"/>
    </w:p>
    <w:p>
      <w:pPr>
        <w:widowControl/>
        <w:adjustRightInd w:val="0"/>
        <w:snapToGrid w:val="0"/>
        <w:spacing w:line="600" w:lineRule="exact"/>
        <w:ind w:firstLine="600" w:firstLineChars="200"/>
        <w:jc w:val="left"/>
        <w:rPr>
          <w:rFonts w:ascii="仿宋" w:hAnsi="仿宋" w:eastAsia="仿宋"/>
          <w:color w:val="000000" w:themeColor="text1"/>
          <w:szCs w:val="30"/>
        </w:rPr>
      </w:pPr>
      <w:r>
        <w:rPr>
          <w:rFonts w:hint="eastAsia" w:ascii="仿宋" w:hAnsi="仿宋" w:eastAsia="仿宋" w:cs="仿宋"/>
          <w:szCs w:val="30"/>
        </w:rPr>
        <w:t>项目绩效管理整体情况良好，县农业农村委为项目预算绩效管理的责任主体，负责开展项目事前绩效评估，并根据工作计划及资金预算编制和调整绩效目标，年中对项目资金预算使用及指标完成进度实施运行监控，并于年终对设定的项目年度总目标、各具体绩效指标值进行绩效自评。但项目个别指标的指标及指标值不够合理，详见本报告第三（一）点绩效指标明确性。目前，项目绩效目标及自评结果暂未向社会公开。</w:t>
      </w:r>
    </w:p>
    <w:bookmarkEnd w:id="68"/>
    <w:bookmarkEnd w:id="69"/>
    <w:bookmarkEnd w:id="78"/>
    <w:p>
      <w:pPr>
        <w:keepNext/>
        <w:widowControl/>
        <w:adjustRightInd w:val="0"/>
        <w:snapToGrid w:val="0"/>
        <w:spacing w:beforeLines="50" w:afterLines="50" w:line="600" w:lineRule="exact"/>
        <w:ind w:firstLine="643" w:firstLineChars="200"/>
        <w:jc w:val="left"/>
        <w:outlineLvl w:val="0"/>
        <w:rPr>
          <w:rFonts w:ascii="黑体" w:hAnsi="黑体" w:eastAsia="黑体" w:cs="黑体"/>
          <w:b/>
          <w:bCs/>
          <w:kern w:val="44"/>
          <w:sz w:val="32"/>
          <w:szCs w:val="44"/>
        </w:rPr>
      </w:pPr>
      <w:bookmarkStart w:id="79" w:name="_Toc1606"/>
      <w:bookmarkStart w:id="80" w:name="_Toc379"/>
      <w:r>
        <w:rPr>
          <w:rFonts w:hint="eastAsia" w:ascii="黑体" w:hAnsi="黑体" w:eastAsia="黑体" w:cs="黑体"/>
          <w:b/>
          <w:bCs/>
          <w:kern w:val="44"/>
          <w:sz w:val="32"/>
          <w:szCs w:val="44"/>
        </w:rPr>
        <w:t>五、评价结论</w:t>
      </w:r>
      <w:bookmarkEnd w:id="79"/>
      <w:bookmarkEnd w:id="80"/>
    </w:p>
    <w:p>
      <w:pPr>
        <w:widowControl/>
        <w:adjustRightInd w:val="0"/>
        <w:snapToGrid w:val="0"/>
        <w:spacing w:line="600" w:lineRule="exact"/>
        <w:ind w:firstLine="600" w:firstLineChars="200"/>
        <w:jc w:val="left"/>
        <w:rPr>
          <w:rFonts w:ascii="仿宋" w:hAnsi="仿宋" w:eastAsia="仿宋" w:cs="仿宋"/>
          <w:szCs w:val="30"/>
        </w:rPr>
      </w:pPr>
      <w:r>
        <w:rPr>
          <w:rFonts w:hint="eastAsia" w:ascii="仿宋" w:hAnsi="仿宋" w:eastAsia="仿宋" w:cs="仿宋"/>
          <w:szCs w:val="30"/>
        </w:rPr>
        <w:t>通过对巫溪县2019年涉农整合资金特色产业发展项目进行综合评分，本项目绩效评价最终得分为：</w:t>
      </w:r>
      <w:r>
        <w:rPr>
          <w:rFonts w:hint="eastAsia" w:ascii="仿宋" w:hAnsi="仿宋" w:eastAsia="仿宋" w:cs="仿宋"/>
          <w:b/>
          <w:bCs/>
          <w:szCs w:val="30"/>
          <w:u w:val="single"/>
        </w:rPr>
        <w:t>72.5分</w:t>
      </w:r>
      <w:r>
        <w:rPr>
          <w:rFonts w:hint="eastAsia" w:ascii="仿宋" w:hAnsi="仿宋" w:eastAsia="仿宋" w:cs="仿宋"/>
          <w:szCs w:val="30"/>
        </w:rPr>
        <w:t>，评价等次为：</w:t>
      </w:r>
      <w:r>
        <w:rPr>
          <w:rFonts w:hint="eastAsia" w:ascii="仿宋" w:hAnsi="仿宋" w:eastAsia="仿宋" w:cs="仿宋"/>
          <w:b/>
          <w:bCs/>
          <w:szCs w:val="30"/>
          <w:u w:val="single"/>
        </w:rPr>
        <w:t>中</w:t>
      </w:r>
      <w:r>
        <w:rPr>
          <w:rFonts w:hint="eastAsia" w:ascii="仿宋" w:hAnsi="仿宋" w:eastAsia="仿宋" w:cs="仿宋"/>
          <w:szCs w:val="30"/>
        </w:rPr>
        <w:t>。项目效益主要体现在：项目的实施可以有效的保证村民利益，提高人均收入，解决部分劳动力就业，带动农村经济发展，对扶持壮大村集体经济、带动贫困人口脱贫增收致富、实现整村脱贫致富、建设新型农村有良好的促进作用。</w:t>
      </w:r>
    </w:p>
    <w:p>
      <w:pPr>
        <w:pStyle w:val="2"/>
        <w:keepLines w:val="0"/>
        <w:widowControl/>
        <w:adjustRightInd w:val="0"/>
        <w:snapToGrid w:val="0"/>
        <w:spacing w:beforeLines="50" w:afterLines="50" w:line="600" w:lineRule="exact"/>
        <w:ind w:firstLine="643" w:firstLineChars="200"/>
        <w:rPr>
          <w:rFonts w:ascii="黑体" w:hAnsi="黑体" w:eastAsia="黑体" w:cs="黑体"/>
        </w:rPr>
      </w:pPr>
      <w:bookmarkStart w:id="81" w:name="_Toc24581"/>
      <w:bookmarkStart w:id="82" w:name="_Toc31559"/>
      <w:r>
        <w:rPr>
          <w:rFonts w:hint="eastAsia" w:ascii="黑体" w:hAnsi="黑体" w:eastAsia="黑体" w:cs="黑体"/>
        </w:rPr>
        <w:t>六、值得关注的问题</w:t>
      </w:r>
      <w:bookmarkEnd w:id="81"/>
      <w:bookmarkEnd w:id="82"/>
    </w:p>
    <w:p>
      <w:pPr>
        <w:adjustRightInd w:val="0"/>
        <w:snapToGrid w:val="0"/>
        <w:spacing w:beforeLines="50" w:afterLines="50" w:line="600" w:lineRule="exact"/>
        <w:ind w:firstLine="602" w:firstLineChars="200"/>
        <w:rPr>
          <w:rFonts w:ascii="仿宋" w:hAnsi="仿宋" w:eastAsia="仿宋"/>
          <w:b/>
          <w:bCs/>
          <w:szCs w:val="30"/>
        </w:rPr>
      </w:pPr>
      <w:bookmarkStart w:id="83" w:name="_Toc28702"/>
      <w:r>
        <w:rPr>
          <w:rFonts w:hint="eastAsia" w:ascii="仿宋" w:hAnsi="仿宋" w:eastAsia="仿宋"/>
          <w:b/>
          <w:bCs/>
          <w:szCs w:val="30"/>
        </w:rPr>
        <w:t>（一）项目建设进度滞后情况严重</w:t>
      </w:r>
    </w:p>
    <w:p>
      <w:pPr>
        <w:spacing w:line="600" w:lineRule="exact"/>
        <w:ind w:firstLine="600" w:firstLineChars="200"/>
        <w:rPr>
          <w:rFonts w:ascii="仿宋" w:hAnsi="仿宋" w:eastAsia="仿宋" w:cs="仿宋"/>
          <w:kern w:val="0"/>
          <w:szCs w:val="30"/>
          <w:highlight w:val="yellow"/>
        </w:rPr>
      </w:pPr>
      <w:r>
        <w:rPr>
          <w:rFonts w:hint="eastAsia" w:ascii="仿宋" w:hAnsi="仿宋" w:eastAsia="仿宋"/>
          <w:bCs/>
          <w:kern w:val="0"/>
          <w:szCs w:val="30"/>
        </w:rPr>
        <w:t>根据项目档案及现场查看情况</w:t>
      </w:r>
      <w:r>
        <w:rPr>
          <w:rFonts w:hint="eastAsia" w:ascii="仿宋" w:hAnsi="仿宋" w:eastAsia="仿宋"/>
          <w:szCs w:val="30"/>
        </w:rPr>
        <w:t>，6个子项目中有4个子项目建设进度较实施方案中计划进度有所滞后，截至2020年8月12日，</w:t>
      </w:r>
      <w:r>
        <w:rPr>
          <w:rFonts w:hint="eastAsia" w:ascii="仿宋" w:hAnsi="仿宋" w:eastAsia="仿宋" w:cs="仿宋"/>
          <w:kern w:val="0"/>
          <w:szCs w:val="30"/>
        </w:rPr>
        <w:t>所有子项目均未申请县农业农村委验收。同时，县农业农村委在项目实施过程中的</w:t>
      </w:r>
      <w:r>
        <w:rPr>
          <w:rFonts w:hint="eastAsia" w:ascii="仿宋" w:hAnsi="仿宋" w:eastAsia="仿宋"/>
          <w:szCs w:val="30"/>
        </w:rPr>
        <w:t>监管及跟踪力度不足，</w:t>
      </w:r>
      <w:r>
        <w:rPr>
          <w:rFonts w:hint="eastAsia" w:ascii="仿宋" w:hAnsi="仿宋" w:eastAsia="仿宋" w:cs="仿宋"/>
          <w:kern w:val="0"/>
          <w:szCs w:val="30"/>
        </w:rPr>
        <w:t>对建设进度滞后项目未进行督促及跟进。</w:t>
      </w:r>
    </w:p>
    <w:p>
      <w:pPr>
        <w:adjustRightInd w:val="0"/>
        <w:snapToGrid w:val="0"/>
        <w:spacing w:beforeLines="50" w:afterLines="50" w:line="600" w:lineRule="exact"/>
        <w:ind w:firstLine="602" w:firstLineChars="200"/>
        <w:rPr>
          <w:rFonts w:ascii="仿宋" w:hAnsi="仿宋" w:eastAsia="仿宋"/>
          <w:b/>
          <w:bCs/>
          <w:szCs w:val="30"/>
        </w:rPr>
      </w:pPr>
      <w:r>
        <w:rPr>
          <w:rFonts w:hint="eastAsia" w:ascii="仿宋" w:hAnsi="仿宋" w:eastAsia="仿宋"/>
          <w:b/>
          <w:bCs/>
          <w:szCs w:val="30"/>
        </w:rPr>
        <w:t>（二）项目资金拨付不符合要求</w:t>
      </w:r>
    </w:p>
    <w:p>
      <w:pPr>
        <w:spacing w:line="600" w:lineRule="exact"/>
        <w:ind w:firstLine="600" w:firstLineChars="200"/>
        <w:rPr>
          <w:rFonts w:ascii="仿宋" w:hAnsi="仿宋" w:eastAsia="仿宋"/>
          <w:kern w:val="0"/>
          <w:szCs w:val="30"/>
        </w:rPr>
      </w:pPr>
      <w:r>
        <w:rPr>
          <w:rFonts w:hint="eastAsia" w:ascii="仿宋" w:hAnsi="仿宋" w:eastAsia="仿宋"/>
          <w:kern w:val="0"/>
          <w:szCs w:val="30"/>
        </w:rPr>
        <w:t>根据巫溪府办发〔2019〕27号、巫溪农发〔2019〕41号文件规定，项目资金拨付原则上应按项目启动、竣工验收两个阶段进行，同时应执行资金拨付审签程序，由项目实施主体提出申请并按程序报县行业主管部门审核后方可拨付资金。但县农业农村委在项目启动时将项目资金一次性拨付至相关乡镇，未结合项目资金对项目整体建设进行管控，可能导致项目实施不规范、项目建设进度滞后、项目完成后不及时申请县农业农村委验收等问题，存在管理风险，且无法保障项目实施质量。</w:t>
      </w:r>
    </w:p>
    <w:p>
      <w:pPr>
        <w:adjustRightInd w:val="0"/>
        <w:snapToGrid w:val="0"/>
        <w:spacing w:beforeLines="50" w:afterLines="50" w:line="600" w:lineRule="exact"/>
        <w:ind w:firstLine="602" w:firstLineChars="200"/>
        <w:rPr>
          <w:rFonts w:ascii="仿宋" w:hAnsi="仿宋" w:eastAsia="仿宋"/>
          <w:b/>
          <w:bCs/>
          <w:szCs w:val="30"/>
        </w:rPr>
      </w:pPr>
      <w:r>
        <w:rPr>
          <w:rFonts w:hint="eastAsia" w:ascii="仿宋" w:hAnsi="仿宋" w:eastAsia="仿宋"/>
          <w:b/>
          <w:bCs/>
          <w:szCs w:val="30"/>
        </w:rPr>
        <w:t>（三）项目监管力度较弱，实施过程缺乏管控</w:t>
      </w:r>
    </w:p>
    <w:p>
      <w:pPr>
        <w:spacing w:line="600" w:lineRule="exact"/>
        <w:ind w:firstLine="600" w:firstLineChars="200"/>
        <w:rPr>
          <w:rFonts w:ascii="仿宋" w:hAnsi="仿宋" w:eastAsia="仿宋"/>
          <w:kern w:val="0"/>
          <w:szCs w:val="30"/>
        </w:rPr>
      </w:pPr>
      <w:r>
        <w:rPr>
          <w:rFonts w:hint="eastAsia" w:ascii="仿宋" w:hAnsi="仿宋" w:eastAsia="仿宋"/>
          <w:kern w:val="0"/>
          <w:szCs w:val="30"/>
        </w:rPr>
        <w:t>各相关乡镇未按照巫溪农发〔2019〕115号文件要求定期向县农业农村委报送项目推进情况表，且县农业农村委未定期对项目的实施进行跟踪检查，导致县农业农村委不清楚项目实施情况，无法对项目建设过程中偏离实施方案或实施不合规的行为进行指导或干预，项目质量可控性有待提高。</w:t>
      </w:r>
    </w:p>
    <w:p>
      <w:pPr>
        <w:spacing w:line="600" w:lineRule="exact"/>
        <w:ind w:firstLine="600" w:firstLineChars="200"/>
        <w:rPr>
          <w:rFonts w:ascii="仿宋" w:hAnsi="仿宋" w:eastAsia="仿宋" w:cs="仿宋"/>
          <w:b/>
          <w:bCs/>
          <w:kern w:val="0"/>
          <w:szCs w:val="30"/>
        </w:rPr>
      </w:pPr>
      <w:r>
        <w:rPr>
          <w:rFonts w:hint="eastAsia" w:ascii="仿宋" w:hAnsi="仿宋" w:eastAsia="仿宋"/>
          <w:bCs/>
          <w:kern w:val="0"/>
          <w:szCs w:val="30"/>
        </w:rPr>
        <w:t>根据项目档案及现场查看情况</w:t>
      </w:r>
      <w:r>
        <w:rPr>
          <w:rFonts w:hint="eastAsia" w:ascii="仿宋" w:hAnsi="仿宋" w:eastAsia="仿宋"/>
          <w:szCs w:val="30"/>
        </w:rPr>
        <w:t>，</w:t>
      </w:r>
      <w:r>
        <w:rPr>
          <w:rFonts w:hint="eastAsia" w:ascii="仿宋" w:hAnsi="仿宋" w:eastAsia="仿宋" w:cs="仿宋"/>
          <w:kern w:val="0"/>
          <w:szCs w:val="30"/>
        </w:rPr>
        <w:t>各相关乡镇及村委会在项目实施过程中存在问题较多。</w:t>
      </w:r>
      <w:r>
        <w:rPr>
          <w:rFonts w:hint="eastAsia" w:ascii="仿宋" w:hAnsi="仿宋" w:eastAsia="仿宋" w:cs="仿宋"/>
          <w:b/>
          <w:bCs/>
          <w:kern w:val="0"/>
          <w:szCs w:val="30"/>
        </w:rPr>
        <w:t>一是</w:t>
      </w:r>
      <w:r>
        <w:rPr>
          <w:rFonts w:hint="eastAsia" w:ascii="仿宋" w:hAnsi="仿宋" w:eastAsia="仿宋"/>
          <w:b/>
          <w:szCs w:val="30"/>
        </w:rPr>
        <w:t>合同签订不规范。</w:t>
      </w:r>
      <w:r>
        <w:rPr>
          <w:rFonts w:hint="eastAsia" w:ascii="仿宋" w:hAnsi="仿宋" w:eastAsia="仿宋"/>
          <w:bCs/>
          <w:szCs w:val="30"/>
        </w:rPr>
        <w:t>如：</w:t>
      </w:r>
      <w:r>
        <w:rPr>
          <w:rFonts w:hint="eastAsia" w:ascii="仿宋" w:hAnsi="仿宋" w:eastAsia="仿宋" w:cs="仿宋"/>
          <w:kern w:val="0"/>
          <w:szCs w:val="30"/>
        </w:rPr>
        <w:t>文峰镇银峰村村民委员会与巫溪县奋博养殖有限公司签订的协议书中重要内容为手写，且金额部分未设置大写，可能存在篡改合同的风险；峰灵镇谭家村2019年度特色产业发展项目施工合同中约定“余下审定金额的3%作为质量保证金”，不符合巫溪府办发〔2019〕27号文件规定。</w:t>
      </w:r>
      <w:r>
        <w:rPr>
          <w:rFonts w:hint="eastAsia" w:ascii="仿宋" w:hAnsi="仿宋" w:eastAsia="仿宋" w:cs="仿宋"/>
          <w:b/>
          <w:bCs/>
          <w:kern w:val="0"/>
          <w:szCs w:val="30"/>
        </w:rPr>
        <w:t>二是协议条款不合理。</w:t>
      </w:r>
      <w:r>
        <w:rPr>
          <w:rFonts w:hint="eastAsia" w:ascii="仿宋" w:hAnsi="仿宋" w:eastAsia="仿宋" w:cs="仿宋"/>
          <w:kern w:val="0"/>
          <w:szCs w:val="30"/>
        </w:rPr>
        <w:t>如：文峰镇2019年度特色产业发展项目，村委会与合作社签订的股权量化协议中股权资金分配条款不合理，可能存在财政资金流失的风险。</w:t>
      </w:r>
      <w:r>
        <w:rPr>
          <w:rFonts w:hint="eastAsia" w:ascii="仿宋" w:hAnsi="仿宋" w:eastAsia="仿宋" w:cs="仿宋"/>
          <w:b/>
          <w:bCs/>
          <w:kern w:val="0"/>
          <w:szCs w:val="30"/>
        </w:rPr>
        <w:t>三是个别项目实施方式与实施方案不符。</w:t>
      </w:r>
      <w:r>
        <w:rPr>
          <w:rFonts w:hint="eastAsia" w:ascii="仿宋" w:hAnsi="仿宋" w:eastAsia="仿宋" w:cs="仿宋"/>
          <w:kern w:val="0"/>
          <w:szCs w:val="30"/>
        </w:rPr>
        <w:t>如：文峰镇2019年度特色产业发展项目实施方案中项目实施单位为文峰镇人民政府，负责项目具体建设，但实际采用与合作社签订股权量化协议的方式由合作社负责具体实施项目内容。</w:t>
      </w:r>
      <w:r>
        <w:rPr>
          <w:rFonts w:hint="eastAsia" w:ascii="仿宋" w:hAnsi="仿宋" w:eastAsia="仿宋" w:cs="仿宋"/>
          <w:b/>
          <w:bCs/>
          <w:kern w:val="0"/>
          <w:szCs w:val="30"/>
        </w:rPr>
        <w:t>四是各项目实施单位均未对项目资金进行专账管理。</w:t>
      </w:r>
    </w:p>
    <w:p>
      <w:pPr>
        <w:pStyle w:val="2"/>
        <w:keepLines w:val="0"/>
        <w:widowControl/>
        <w:adjustRightInd w:val="0"/>
        <w:snapToGrid w:val="0"/>
        <w:spacing w:beforeLines="50" w:afterLines="50" w:line="600" w:lineRule="exact"/>
        <w:ind w:firstLine="643" w:firstLineChars="200"/>
        <w:rPr>
          <w:rFonts w:ascii="黑体" w:hAnsi="黑体" w:eastAsia="黑体" w:cs="黑体"/>
        </w:rPr>
      </w:pPr>
      <w:bookmarkStart w:id="84" w:name="_Toc9570"/>
      <w:r>
        <w:rPr>
          <w:rFonts w:hint="eastAsia" w:ascii="黑体" w:hAnsi="黑体" w:eastAsia="黑体" w:cs="黑体"/>
        </w:rPr>
        <w:t>七、主要建议</w:t>
      </w:r>
      <w:bookmarkEnd w:id="83"/>
      <w:bookmarkEnd w:id="84"/>
    </w:p>
    <w:p>
      <w:pPr>
        <w:adjustRightInd w:val="0"/>
        <w:snapToGrid w:val="0"/>
        <w:spacing w:beforeLines="50" w:afterLines="50" w:line="600" w:lineRule="exact"/>
        <w:ind w:firstLine="602" w:firstLineChars="200"/>
        <w:rPr>
          <w:rFonts w:ascii="仿宋" w:hAnsi="仿宋" w:eastAsia="仿宋"/>
          <w:b/>
          <w:bCs/>
          <w:szCs w:val="30"/>
        </w:rPr>
      </w:pPr>
      <w:r>
        <w:rPr>
          <w:rFonts w:hint="eastAsia" w:ascii="仿宋" w:hAnsi="仿宋" w:eastAsia="仿宋"/>
          <w:b/>
          <w:bCs/>
          <w:szCs w:val="30"/>
        </w:rPr>
        <w:t>（一）建立项目建设进度考核机制，把控资金拨付进度</w:t>
      </w:r>
    </w:p>
    <w:p>
      <w:pPr>
        <w:pStyle w:val="10"/>
        <w:widowControl/>
        <w:spacing w:line="600" w:lineRule="exact"/>
        <w:ind w:firstLine="600" w:firstLineChars="200"/>
        <w:jc w:val="both"/>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县农业农村委作为主管部门要加大对项目实施进度的监督力度，督促建设进度滞后的项目实施主体加快建设进度，对项目推进工作实施督查考核奖惩，充分调动和发挥各项目实施单位及相关人员的主动性、积极性，营造“围绕项目转,盯死项目干”的良好氛围，着力解决项目推进中建设节点严重滞后的问题。同时，严格按照文件规定拨付资金，将项目建设与资金拨付进行有机结合，务必确保实体建设和支付进度达到序时进度，保证财政资金使用的安全性，提高资金使用效益的同时保证项目能按时保质保量完成。</w:t>
      </w:r>
    </w:p>
    <w:p>
      <w:pPr>
        <w:adjustRightInd w:val="0"/>
        <w:snapToGrid w:val="0"/>
        <w:spacing w:beforeLines="50" w:afterLines="50" w:line="600" w:lineRule="exact"/>
        <w:ind w:firstLine="602" w:firstLineChars="200"/>
        <w:rPr>
          <w:rFonts w:ascii="仿宋" w:hAnsi="仿宋" w:eastAsia="仿宋"/>
          <w:b/>
          <w:bCs/>
          <w:szCs w:val="30"/>
        </w:rPr>
      </w:pPr>
      <w:r>
        <w:rPr>
          <w:rFonts w:hint="eastAsia" w:ascii="仿宋" w:hAnsi="仿宋" w:eastAsia="仿宋"/>
          <w:b/>
          <w:bCs/>
          <w:szCs w:val="30"/>
        </w:rPr>
        <w:t>（二）加强项目过程管控</w:t>
      </w:r>
    </w:p>
    <w:p>
      <w:pPr>
        <w:pStyle w:val="10"/>
        <w:widowControl/>
        <w:spacing w:line="600" w:lineRule="exact"/>
        <w:ind w:firstLine="600" w:firstLineChars="200"/>
        <w:jc w:val="both"/>
        <w:rPr>
          <w:rFonts w:ascii="仿宋" w:hAnsi="仿宋" w:eastAsia="仿宋" w:cs="仿宋"/>
          <w:sz w:val="30"/>
          <w:szCs w:val="30"/>
        </w:rPr>
      </w:pPr>
      <w:r>
        <w:rPr>
          <w:rFonts w:hint="eastAsia" w:ascii="仿宋" w:hAnsi="仿宋" w:eastAsia="仿宋" w:cs="仿宋"/>
          <w:sz w:val="30"/>
          <w:szCs w:val="30"/>
        </w:rPr>
        <w:t>各项目实施单位应严格按照文件要求，定期向县农业农村委报送项目推进情况表，汇报项目建设情况。同时，县农业农村委应对项目实施进度及实施内容进行有效管控及监督检查，</w:t>
      </w:r>
      <w:r>
        <w:rPr>
          <w:rFonts w:hint="eastAsia" w:ascii="仿宋" w:hAnsi="仿宋" w:eastAsia="仿宋" w:cs="仿宋"/>
          <w:sz w:val="30"/>
          <w:szCs w:val="30"/>
          <w:shd w:val="clear" w:color="auto" w:fill="FFFFFF"/>
        </w:rPr>
        <w:t>对项目建设过程中偏离实施方案或实施不合规的行为进行指导或干预，</w:t>
      </w:r>
      <w:r>
        <w:rPr>
          <w:rFonts w:hint="eastAsia" w:ascii="仿宋" w:hAnsi="仿宋" w:eastAsia="仿宋" w:cs="仿宋"/>
          <w:sz w:val="30"/>
          <w:szCs w:val="30"/>
        </w:rPr>
        <w:t>确保项目实施内容及程序的合法、合规性。</w:t>
      </w:r>
    </w:p>
    <w:p>
      <w:pPr>
        <w:adjustRightInd w:val="0"/>
        <w:snapToGrid w:val="0"/>
        <w:spacing w:beforeLines="50" w:afterLines="50" w:line="600" w:lineRule="exact"/>
        <w:ind w:firstLine="602" w:firstLineChars="200"/>
        <w:rPr>
          <w:rFonts w:ascii="仿宋" w:hAnsi="仿宋" w:eastAsia="仿宋"/>
          <w:b/>
          <w:bCs/>
          <w:szCs w:val="30"/>
        </w:rPr>
      </w:pPr>
      <w:r>
        <w:rPr>
          <w:rFonts w:hint="eastAsia" w:ascii="仿宋" w:hAnsi="仿宋" w:eastAsia="仿宋"/>
          <w:b/>
          <w:bCs/>
          <w:szCs w:val="30"/>
        </w:rPr>
        <w:t>（三）规范项目合同管理及档案管理</w:t>
      </w:r>
    </w:p>
    <w:p>
      <w:pPr>
        <w:pStyle w:val="10"/>
        <w:widowControl/>
        <w:spacing w:line="600" w:lineRule="exact"/>
        <w:ind w:firstLine="602" w:firstLineChars="200"/>
        <w:jc w:val="both"/>
        <w:rPr>
          <w:rFonts w:ascii="仿宋" w:hAnsi="仿宋" w:eastAsia="仿宋" w:cs="仿宋"/>
          <w:sz w:val="30"/>
          <w:szCs w:val="30"/>
          <w:shd w:val="clear" w:color="auto" w:fill="FFFFFF"/>
        </w:rPr>
      </w:pPr>
      <w:r>
        <w:rPr>
          <w:rFonts w:hint="eastAsia" w:ascii="仿宋" w:hAnsi="仿宋" w:eastAsia="仿宋" w:cs="仿宋"/>
          <w:b/>
          <w:bCs/>
          <w:sz w:val="30"/>
          <w:szCs w:val="30"/>
          <w:shd w:val="clear" w:color="auto" w:fill="FFFFFF"/>
        </w:rPr>
        <w:t>一是</w:t>
      </w:r>
      <w:r>
        <w:rPr>
          <w:rFonts w:hint="eastAsia" w:ascii="仿宋" w:hAnsi="仿宋" w:eastAsia="仿宋" w:cs="仿宋"/>
          <w:sz w:val="30"/>
          <w:szCs w:val="30"/>
          <w:shd w:val="clear" w:color="auto" w:fill="FFFFFF"/>
        </w:rPr>
        <w:t>加强合同审核，规避合同签订不当带来的各种风险。同时，规范项目档案管理，严格按照档案管理办法的相关标准，对项目资料进行归档管理，提高档案管理质量，避免档案资料的混淆、遗失。</w:t>
      </w:r>
    </w:p>
    <w:p>
      <w:pPr>
        <w:pStyle w:val="10"/>
        <w:widowControl/>
        <w:spacing w:line="600" w:lineRule="exact"/>
        <w:ind w:firstLine="602" w:firstLineChars="200"/>
        <w:jc w:val="both"/>
        <w:rPr>
          <w:rFonts w:ascii="仿宋" w:hAnsi="仿宋" w:eastAsia="仿宋" w:cs="仿宋"/>
          <w:sz w:val="30"/>
          <w:szCs w:val="30"/>
        </w:rPr>
      </w:pPr>
      <w:r>
        <w:rPr>
          <w:rFonts w:hint="eastAsia" w:ascii="仿宋" w:hAnsi="仿宋" w:eastAsia="仿宋" w:cs="仿宋"/>
          <w:b/>
          <w:bCs/>
          <w:sz w:val="30"/>
          <w:szCs w:val="30"/>
          <w:shd w:val="clear" w:color="auto" w:fill="FFFFFF"/>
        </w:rPr>
        <w:t>二是</w:t>
      </w:r>
      <w:r>
        <w:rPr>
          <w:rFonts w:hint="eastAsia" w:ascii="仿宋" w:hAnsi="仿宋" w:eastAsia="仿宋" w:cs="仿宋"/>
          <w:sz w:val="30"/>
          <w:szCs w:val="30"/>
        </w:rPr>
        <w:t>项目业主单位应严格按照制度、文件要求，执行经批复的项目方案内容，对实施过程中发现预期目标不准确的情况，应及时上报变更申请，并在得到变更批复后及时调整相关内容，保证项目实施方式及内容合法、合规。</w:t>
      </w:r>
    </w:p>
    <w:p>
      <w:pPr>
        <w:pStyle w:val="10"/>
        <w:widowControl/>
        <w:spacing w:line="600" w:lineRule="exact"/>
        <w:ind w:firstLine="602" w:firstLineChars="200"/>
        <w:jc w:val="both"/>
        <w:rPr>
          <w:rFonts w:ascii="仿宋" w:hAnsi="仿宋" w:eastAsia="仿宋" w:cs="仿宋"/>
          <w:sz w:val="30"/>
          <w:szCs w:val="30"/>
          <w:shd w:val="clear" w:color="auto" w:fill="FFFFFF"/>
        </w:rPr>
      </w:pPr>
      <w:r>
        <w:rPr>
          <w:rFonts w:hint="eastAsia" w:ascii="仿宋" w:hAnsi="仿宋" w:eastAsia="仿宋" w:cs="仿宋"/>
          <w:b/>
          <w:bCs/>
          <w:sz w:val="30"/>
          <w:szCs w:val="30"/>
          <w:shd w:val="clear" w:color="auto" w:fill="FFFFFF"/>
        </w:rPr>
        <w:t>三是</w:t>
      </w:r>
      <w:r>
        <w:rPr>
          <w:rFonts w:hint="eastAsia" w:ascii="仿宋" w:hAnsi="仿宋" w:eastAsia="仿宋" w:cs="仿宋"/>
          <w:sz w:val="30"/>
          <w:szCs w:val="30"/>
          <w:shd w:val="clear" w:color="auto" w:fill="FFFFFF"/>
        </w:rPr>
        <w:t>加强乡镇项目资金管理，提升资金管理水平，对项目资金进行专账管理，避免因混合管理造成项目类别不清、资金数额不清等问题。</w:t>
      </w:r>
    </w:p>
    <w:p>
      <w:pPr>
        <w:spacing w:before="50" w:after="50" w:line="360" w:lineRule="auto"/>
        <w:ind w:firstLine="562" w:firstLineChars="200"/>
        <w:rPr>
          <w:rFonts w:hint="eastAsia" w:ascii="仿宋" w:hAnsi="仿宋" w:eastAsia="仿宋" w:cs="仿宋"/>
          <w:b/>
          <w:spacing w:val="-10"/>
          <w:szCs w:val="30"/>
        </w:rPr>
      </w:pPr>
      <w:bookmarkStart w:id="85" w:name="_Toc6100"/>
    </w:p>
    <w:p>
      <w:pPr>
        <w:spacing w:before="50" w:after="50" w:line="360" w:lineRule="auto"/>
        <w:ind w:firstLine="562" w:firstLineChars="200"/>
        <w:rPr>
          <w:rFonts w:ascii="仿宋" w:hAnsi="仿宋" w:eastAsia="仿宋" w:cs="仿宋"/>
          <w:b/>
          <w:spacing w:val="-10"/>
          <w:szCs w:val="30"/>
        </w:rPr>
      </w:pPr>
      <w:r>
        <w:rPr>
          <w:rFonts w:hint="eastAsia" w:ascii="仿宋" w:hAnsi="仿宋" w:eastAsia="仿宋" w:cs="仿宋"/>
          <w:b/>
          <w:spacing w:val="-10"/>
          <w:szCs w:val="30"/>
        </w:rPr>
        <w:t>附件：</w:t>
      </w:r>
      <w:bookmarkEnd w:id="85"/>
    </w:p>
    <w:p>
      <w:pPr>
        <w:spacing w:line="360" w:lineRule="auto"/>
        <w:ind w:firstLine="600" w:firstLineChars="200"/>
        <w:rPr>
          <w:rFonts w:ascii="仿宋" w:hAnsi="仿宋" w:eastAsia="仿宋" w:cs="仿宋"/>
          <w:kern w:val="0"/>
          <w:szCs w:val="30"/>
          <w:shd w:val="clear" w:color="auto" w:fill="FFFFFF"/>
        </w:rPr>
      </w:pPr>
      <w:r>
        <w:rPr>
          <w:rFonts w:hint="eastAsia" w:ascii="仿宋" w:hAnsi="仿宋" w:eastAsia="仿宋" w:cs="仿宋"/>
          <w:kern w:val="0"/>
          <w:szCs w:val="30"/>
          <w:shd w:val="clear" w:color="auto" w:fill="FFFFFF"/>
        </w:rPr>
        <w:t>1.巫溪县2019年涉农整合资金特色产业发展项目绩效评价指标体系及评分表</w:t>
      </w:r>
    </w:p>
    <w:p>
      <w:pPr>
        <w:spacing w:line="360" w:lineRule="auto"/>
        <w:ind w:firstLine="600" w:firstLineChars="200"/>
        <w:rPr>
          <w:rFonts w:ascii="仿宋" w:hAnsi="仿宋" w:eastAsia="仿宋" w:cs="仿宋"/>
          <w:kern w:val="0"/>
          <w:szCs w:val="30"/>
          <w:shd w:val="clear" w:color="auto" w:fill="FFFFFF"/>
        </w:rPr>
      </w:pPr>
      <w:r>
        <w:rPr>
          <w:rFonts w:hint="eastAsia" w:ascii="仿宋" w:hAnsi="仿宋" w:eastAsia="仿宋" w:cs="仿宋"/>
          <w:kern w:val="0"/>
          <w:szCs w:val="30"/>
          <w:shd w:val="clear" w:color="auto" w:fill="FFFFFF"/>
        </w:rPr>
        <w:t>2.重庆通冠会计师事务所营业执照</w:t>
      </w:r>
    </w:p>
    <w:p>
      <w:pPr>
        <w:spacing w:line="360" w:lineRule="auto"/>
        <w:ind w:firstLine="600" w:firstLineChars="200"/>
        <w:rPr>
          <w:rFonts w:ascii="仿宋" w:hAnsi="仿宋" w:eastAsia="仿宋" w:cs="仿宋"/>
          <w:kern w:val="0"/>
          <w:szCs w:val="30"/>
          <w:shd w:val="clear" w:color="auto" w:fill="FFFFFF"/>
        </w:rPr>
      </w:pPr>
      <w:r>
        <w:rPr>
          <w:rFonts w:hint="eastAsia" w:ascii="仿宋" w:hAnsi="仿宋" w:eastAsia="仿宋" w:cs="仿宋"/>
          <w:kern w:val="0"/>
          <w:szCs w:val="30"/>
          <w:shd w:val="clear" w:color="auto" w:fill="FFFFFF"/>
        </w:rPr>
        <w:t>3.重庆通冠会计师事务所执业证书</w:t>
      </w:r>
    </w:p>
    <w:p>
      <w:pPr>
        <w:spacing w:line="600" w:lineRule="exact"/>
        <w:rPr>
          <w:rFonts w:ascii="仿宋" w:hAnsi="仿宋" w:eastAsia="仿宋" w:cs="仿宋"/>
          <w:bCs/>
          <w:w w:val="90"/>
          <w:szCs w:val="30"/>
        </w:rPr>
      </w:pPr>
    </w:p>
    <w:p>
      <w:pPr>
        <w:spacing w:line="600" w:lineRule="exact"/>
        <w:ind w:firstLine="630"/>
        <w:rPr>
          <w:rFonts w:ascii="仿宋" w:hAnsi="仿宋" w:eastAsia="仿宋" w:cs="仿宋"/>
          <w:bCs/>
          <w:w w:val="90"/>
          <w:szCs w:val="30"/>
        </w:rPr>
      </w:pPr>
    </w:p>
    <w:tbl>
      <w:tblPr>
        <w:tblStyle w:val="12"/>
        <w:tblW w:w="9362" w:type="dxa"/>
        <w:jc w:val="center"/>
        <w:tblLayout w:type="fixed"/>
        <w:tblCellMar>
          <w:top w:w="0" w:type="dxa"/>
          <w:left w:w="108" w:type="dxa"/>
          <w:bottom w:w="0" w:type="dxa"/>
          <w:right w:w="108" w:type="dxa"/>
        </w:tblCellMar>
      </w:tblPr>
      <w:tblGrid>
        <w:gridCol w:w="5175"/>
        <w:gridCol w:w="4187"/>
      </w:tblGrid>
      <w:tr>
        <w:tblPrEx>
          <w:tblCellMar>
            <w:top w:w="0" w:type="dxa"/>
            <w:left w:w="108" w:type="dxa"/>
            <w:bottom w:w="0" w:type="dxa"/>
            <w:right w:w="108" w:type="dxa"/>
          </w:tblCellMar>
        </w:tblPrEx>
        <w:trPr>
          <w:trHeight w:val="1180" w:hRule="atLeast"/>
          <w:jc w:val="center"/>
        </w:trPr>
        <w:tc>
          <w:tcPr>
            <w:tcW w:w="5175" w:type="dxa"/>
            <w:noWrap/>
          </w:tcPr>
          <w:p>
            <w:pPr>
              <w:spacing w:line="360" w:lineRule="atLeast"/>
              <w:jc w:val="center"/>
              <w:rPr>
                <w:rFonts w:ascii="仿宋" w:hAnsi="仿宋" w:eastAsia="仿宋" w:cs="仿宋"/>
                <w:kern w:val="0"/>
                <w:szCs w:val="30"/>
                <w:shd w:val="clear" w:color="auto" w:fill="FFFFFF"/>
              </w:rPr>
            </w:pPr>
          </w:p>
          <w:p>
            <w:pPr>
              <w:spacing w:line="360" w:lineRule="atLeast"/>
              <w:jc w:val="center"/>
              <w:rPr>
                <w:rFonts w:ascii="仿宋" w:hAnsi="仿宋" w:eastAsia="仿宋" w:cs="仿宋"/>
                <w:kern w:val="0"/>
                <w:szCs w:val="30"/>
                <w:shd w:val="clear" w:color="auto" w:fill="FFFFFF"/>
              </w:rPr>
            </w:pPr>
          </w:p>
          <w:p>
            <w:pPr>
              <w:spacing w:line="360" w:lineRule="atLeast"/>
              <w:rPr>
                <w:rFonts w:ascii="仿宋" w:hAnsi="仿宋" w:eastAsia="仿宋" w:cs="仿宋"/>
                <w:kern w:val="0"/>
                <w:szCs w:val="30"/>
                <w:shd w:val="clear" w:color="auto" w:fill="FFFFFF"/>
              </w:rPr>
            </w:pPr>
          </w:p>
          <w:p>
            <w:pPr>
              <w:spacing w:line="360" w:lineRule="atLeast"/>
              <w:rPr>
                <w:rFonts w:ascii="仿宋" w:hAnsi="仿宋" w:eastAsia="仿宋" w:cs="仿宋"/>
                <w:kern w:val="0"/>
                <w:szCs w:val="30"/>
                <w:shd w:val="clear" w:color="auto" w:fill="FFFFFF"/>
              </w:rPr>
            </w:pPr>
            <w:r>
              <w:rPr>
                <w:rFonts w:hint="eastAsia" w:ascii="仿宋" w:hAnsi="仿宋" w:eastAsia="仿宋" w:cs="仿宋"/>
                <w:kern w:val="0"/>
                <w:szCs w:val="30"/>
                <w:shd w:val="clear" w:color="auto" w:fill="FFFFFF"/>
              </w:rPr>
              <w:t>重庆通冠会计师事务所有限责任公司</w:t>
            </w:r>
          </w:p>
        </w:tc>
        <w:tc>
          <w:tcPr>
            <w:tcW w:w="4187" w:type="dxa"/>
            <w:noWrap/>
          </w:tcPr>
          <w:p>
            <w:pPr>
              <w:spacing w:line="360" w:lineRule="atLeast"/>
              <w:jc w:val="center"/>
              <w:rPr>
                <w:rFonts w:ascii="仿宋" w:hAnsi="仿宋" w:eastAsia="仿宋" w:cs="仿宋"/>
                <w:kern w:val="0"/>
                <w:szCs w:val="30"/>
                <w:shd w:val="clear" w:color="auto" w:fill="FFFFFF"/>
              </w:rPr>
            </w:pPr>
          </w:p>
          <w:p>
            <w:pPr>
              <w:spacing w:line="360" w:lineRule="atLeast"/>
              <w:jc w:val="center"/>
              <w:rPr>
                <w:rFonts w:ascii="仿宋" w:hAnsi="仿宋" w:eastAsia="仿宋" w:cs="仿宋"/>
                <w:kern w:val="0"/>
                <w:szCs w:val="30"/>
                <w:shd w:val="clear" w:color="auto" w:fill="FFFFFF"/>
              </w:rPr>
            </w:pPr>
          </w:p>
          <w:p>
            <w:pPr>
              <w:spacing w:line="360" w:lineRule="atLeast"/>
              <w:rPr>
                <w:rFonts w:ascii="仿宋" w:hAnsi="仿宋" w:eastAsia="仿宋" w:cs="仿宋"/>
                <w:kern w:val="0"/>
                <w:szCs w:val="30"/>
                <w:shd w:val="clear" w:color="auto" w:fill="FFFFFF"/>
              </w:rPr>
            </w:pPr>
          </w:p>
          <w:p>
            <w:pPr>
              <w:spacing w:line="360" w:lineRule="atLeast"/>
              <w:ind w:firstLine="300" w:firstLineChars="100"/>
              <w:rPr>
                <w:rFonts w:ascii="仿宋" w:hAnsi="仿宋" w:eastAsia="仿宋" w:cs="仿宋"/>
                <w:kern w:val="0"/>
                <w:szCs w:val="30"/>
                <w:shd w:val="clear" w:color="auto" w:fill="FFFFFF"/>
              </w:rPr>
            </w:pPr>
            <w:r>
              <w:rPr>
                <w:rFonts w:hint="eastAsia" w:ascii="仿宋" w:hAnsi="仿宋" w:eastAsia="仿宋" w:cs="仿宋"/>
                <w:kern w:val="0"/>
                <w:szCs w:val="30"/>
                <w:shd w:val="clear" w:color="auto" w:fill="FFFFFF"/>
              </w:rPr>
              <w:t>中国注册造价工程师：</w:t>
            </w:r>
          </w:p>
        </w:tc>
      </w:tr>
      <w:tr>
        <w:tblPrEx>
          <w:tblCellMar>
            <w:top w:w="0" w:type="dxa"/>
            <w:left w:w="108" w:type="dxa"/>
            <w:bottom w:w="0" w:type="dxa"/>
            <w:right w:w="108" w:type="dxa"/>
          </w:tblCellMar>
        </w:tblPrEx>
        <w:trPr>
          <w:trHeight w:val="1110" w:hRule="atLeast"/>
          <w:jc w:val="center"/>
        </w:trPr>
        <w:tc>
          <w:tcPr>
            <w:tcW w:w="5175" w:type="dxa"/>
            <w:noWrap/>
          </w:tcPr>
          <w:p>
            <w:pPr>
              <w:spacing w:line="360" w:lineRule="atLeast"/>
              <w:jc w:val="center"/>
              <w:rPr>
                <w:rFonts w:ascii="仿宋" w:hAnsi="仿宋" w:eastAsia="仿宋" w:cs="仿宋"/>
                <w:kern w:val="0"/>
                <w:szCs w:val="30"/>
                <w:shd w:val="clear" w:color="auto" w:fill="FFFFFF"/>
              </w:rPr>
            </w:pPr>
          </w:p>
        </w:tc>
        <w:tc>
          <w:tcPr>
            <w:tcW w:w="4187" w:type="dxa"/>
            <w:noWrap/>
          </w:tcPr>
          <w:p>
            <w:pPr>
              <w:spacing w:line="360" w:lineRule="atLeast"/>
              <w:jc w:val="center"/>
              <w:rPr>
                <w:rFonts w:ascii="仿宋" w:hAnsi="仿宋" w:eastAsia="仿宋" w:cs="仿宋"/>
                <w:kern w:val="0"/>
                <w:szCs w:val="30"/>
                <w:shd w:val="clear" w:color="auto" w:fill="FFFFFF"/>
              </w:rPr>
            </w:pPr>
          </w:p>
          <w:p>
            <w:pPr>
              <w:spacing w:line="360" w:lineRule="atLeast"/>
              <w:jc w:val="center"/>
              <w:rPr>
                <w:rFonts w:ascii="仿宋" w:hAnsi="仿宋" w:eastAsia="仿宋" w:cs="仿宋"/>
                <w:kern w:val="0"/>
                <w:szCs w:val="30"/>
                <w:shd w:val="clear" w:color="auto" w:fill="FFFFFF"/>
              </w:rPr>
            </w:pPr>
            <w:r>
              <w:rPr>
                <w:rFonts w:hint="eastAsia" w:ascii="仿宋" w:hAnsi="仿宋" w:eastAsia="仿宋" w:cs="仿宋"/>
                <w:kern w:val="0"/>
                <w:szCs w:val="30"/>
                <w:shd w:val="clear" w:color="auto" w:fill="FFFFFF"/>
              </w:rPr>
              <w:t xml:space="preserve"> 中国注册会计师：</w:t>
            </w:r>
          </w:p>
        </w:tc>
      </w:tr>
      <w:tr>
        <w:tblPrEx>
          <w:tblCellMar>
            <w:top w:w="0" w:type="dxa"/>
            <w:left w:w="108" w:type="dxa"/>
            <w:bottom w:w="0" w:type="dxa"/>
            <w:right w:w="108" w:type="dxa"/>
          </w:tblCellMar>
        </w:tblPrEx>
        <w:trPr>
          <w:trHeight w:val="602" w:hRule="atLeast"/>
          <w:jc w:val="center"/>
        </w:trPr>
        <w:tc>
          <w:tcPr>
            <w:tcW w:w="5175" w:type="dxa"/>
            <w:noWrap/>
          </w:tcPr>
          <w:p>
            <w:pPr>
              <w:spacing w:line="360" w:lineRule="atLeast"/>
              <w:jc w:val="center"/>
              <w:rPr>
                <w:rFonts w:ascii="仿宋" w:hAnsi="仿宋" w:eastAsia="仿宋" w:cs="仿宋"/>
                <w:kern w:val="0"/>
                <w:szCs w:val="30"/>
                <w:shd w:val="clear" w:color="auto" w:fill="FFFFFF"/>
              </w:rPr>
            </w:pPr>
            <w:r>
              <w:rPr>
                <w:rFonts w:hint="eastAsia" w:ascii="仿宋" w:hAnsi="仿宋" w:eastAsia="仿宋" w:cs="仿宋"/>
                <w:kern w:val="0"/>
                <w:szCs w:val="30"/>
                <w:shd w:val="clear" w:color="auto" w:fill="FFFFFF"/>
              </w:rPr>
              <w:t>中国·重庆市</w:t>
            </w:r>
          </w:p>
        </w:tc>
        <w:tc>
          <w:tcPr>
            <w:tcW w:w="4187" w:type="dxa"/>
            <w:noWrap/>
          </w:tcPr>
          <w:p>
            <w:pPr>
              <w:spacing w:line="360" w:lineRule="atLeast"/>
              <w:ind w:firstLine="300" w:firstLineChars="100"/>
              <w:rPr>
                <w:rFonts w:ascii="仿宋" w:hAnsi="仿宋" w:eastAsia="仿宋" w:cs="仿宋"/>
                <w:kern w:val="0"/>
                <w:szCs w:val="30"/>
                <w:shd w:val="clear" w:color="auto" w:fill="FFFFFF"/>
              </w:rPr>
            </w:pPr>
            <w:r>
              <w:rPr>
                <w:rFonts w:hint="eastAsia" w:ascii="仿宋" w:hAnsi="仿宋" w:eastAsia="仿宋" w:cs="仿宋"/>
                <w:kern w:val="0"/>
                <w:szCs w:val="30"/>
                <w:shd w:val="clear" w:color="auto" w:fill="FFFFFF"/>
              </w:rPr>
              <w:t>二Ｏ二Ｏ年十</w:t>
            </w:r>
            <w:r>
              <w:rPr>
                <w:rFonts w:hint="eastAsia" w:ascii="仿宋" w:hAnsi="仿宋" w:eastAsia="仿宋" w:cs="仿宋"/>
                <w:kern w:val="0"/>
                <w:szCs w:val="30"/>
                <w:shd w:val="clear" w:color="auto" w:fill="FFFFFF"/>
                <w:lang w:eastAsia="zh-CN"/>
              </w:rPr>
              <w:t>二</w:t>
            </w:r>
            <w:r>
              <w:rPr>
                <w:rFonts w:hint="eastAsia" w:ascii="仿宋" w:hAnsi="仿宋" w:eastAsia="仿宋" w:cs="仿宋"/>
                <w:kern w:val="0"/>
                <w:szCs w:val="30"/>
                <w:shd w:val="clear" w:color="auto" w:fill="FFFFFF"/>
              </w:rPr>
              <w:t>月</w:t>
            </w:r>
            <w:r>
              <w:rPr>
                <w:rFonts w:hint="eastAsia" w:ascii="仿宋" w:hAnsi="仿宋" w:eastAsia="仿宋" w:cs="仿宋"/>
                <w:kern w:val="0"/>
                <w:szCs w:val="30"/>
                <w:shd w:val="clear" w:color="auto" w:fill="FFFFFF"/>
                <w:lang w:eastAsia="zh-CN"/>
              </w:rPr>
              <w:t>三十</w:t>
            </w:r>
            <w:r>
              <w:rPr>
                <w:rFonts w:hint="eastAsia" w:ascii="仿宋" w:hAnsi="仿宋" w:eastAsia="仿宋" w:cs="仿宋"/>
                <w:kern w:val="0"/>
                <w:szCs w:val="30"/>
                <w:shd w:val="clear" w:color="auto" w:fill="FFFFFF"/>
              </w:rPr>
              <w:t>日</w:t>
            </w:r>
          </w:p>
        </w:tc>
      </w:tr>
    </w:tbl>
    <w:p>
      <w:pPr>
        <w:spacing w:line="594" w:lineRule="exact"/>
        <w:ind w:firstLine="640"/>
        <w:textAlignment w:val="baseline"/>
        <w:rPr>
          <w:rFonts w:ascii="仿宋" w:hAnsi="仿宋" w:eastAsia="仿宋"/>
          <w:szCs w:val="30"/>
        </w:rPr>
      </w:pPr>
    </w:p>
    <w:sectPr>
      <w:footerReference r:id="rId10" w:type="default"/>
      <w:footnotePr>
        <w:numFmt w:val="decimalEnclosedCircleChinese"/>
      </w:footnotePr>
      <w:pgSz w:w="11906" w:h="16838"/>
      <w:pgMar w:top="1418" w:right="1418" w:bottom="1417" w:left="1418" w:header="1021" w:footer="1021" w:gutter="28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647"/>
        <w:tab w:val="clear" w:pos="8306"/>
      </w:tabs>
      <w:ind w:firstLine="210" w:firstLineChars="100"/>
    </w:pPr>
    <w:r>
      <w:pict>
        <v:line id="_x0000_s1030" o:spid="_x0000_s1030" o:spt="20" style="position:absolute;left:0pt;margin-left:-0.75pt;margin-top:-4.95pt;height:0pt;width:442.5pt;z-index:251659264;mso-width-relative:page;mso-height-relative:page;" stroked="t" coordsize="21600,21600" o:gfxdata="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5QQP9QAAAAIAQAADwAAAAAAAAABACAAAAAiAAAAZHJzL2Rvd25yZXYueG1sUEsBAhQAFAAA&#10;AAgAh07iQPYyXjzzAQAA3wMAAA4AAAAAAAAAAQAgAAAAIwEAAGRycy9lMm9Eb2MueG1sUEsFBgAA&#10;AAAGAAYAWQEAAIgFAAAAAA==&#10;">
          <v:path arrowok="t"/>
          <v:fill focussize="0,0"/>
          <v:stroke weight="4.5pt" color="#47A3FF" linestyle="thickThin"/>
          <v:imagedata o:title=""/>
          <o:lock v:ext="edit"/>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5"/>
      </w:rPr>
    </w:pPr>
    <w:r>
      <w:fldChar w:fldCharType="begin"/>
    </w:r>
    <w:r>
      <w:rPr>
        <w:rStyle w:val="15"/>
      </w:rPr>
      <w:instrText xml:space="preserve">PAGE  </w:instrTex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647"/>
        <w:tab w:val="clear" w:pos="8306"/>
      </w:tabs>
      <w:ind w:firstLine="210" w:firstLineChars="100"/>
    </w:pPr>
    <w:r>
      <w:pict>
        <v:line id="_x0000_s1029" o:spid="_x0000_s1029" o:spt="20" style="position:absolute;left:0pt;margin-left:-0.75pt;margin-top:-4.95pt;height:0pt;width:442.5pt;z-index:251660288;mso-width-relative:page;mso-height-relative:page;" stroked="t" coordsize="21600,21600" o:gfxdata="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5QQP9QAAAAIAQAADwAAAAAAAAABACAAAAAiAAAAZHJzL2Rvd25yZXYueG1sUEsBAhQAFAAA&#10;AAgAh07iQDlz38XzAQAA3wMAAA4AAAAAAAAAAQAgAAAAIwEAAGRycy9lMm9Eb2MueG1sUEsFBgAA&#10;AAAGAAYAWQEAAIgFAAAAAA==&#10;">
          <v:path arrowok="t"/>
          <v:fill focussize="0,0"/>
          <v:stroke weight="4.5pt" color="#47A3FF" linestyle="thickThin"/>
          <v:imagedata o:title=""/>
          <o:lock v:ext="edit"/>
        </v:lin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647"/>
        <w:tab w:val="clear" w:pos="8306"/>
      </w:tabs>
      <w:ind w:firstLine="210" w:firstLineChars="100"/>
      <w:jc w:val="center"/>
    </w:pPr>
    <w:r>
      <w:pict>
        <v:shape id="_x0000_s1028" o:spid="_x0000_s1028"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7"/>
                  <w:rPr>
                    <w:rFonts w:eastAsia="仿宋_GB2312"/>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r>
                  <w:rPr>
                    <w:rFonts w:hint="eastAsia"/>
                  </w:rPr>
                  <w:t xml:space="preserve"> 页 共 18 页</w:t>
                </w:r>
              </w:p>
            </w:txbxContent>
          </v:textbox>
        </v:shape>
      </w:pict>
    </w:r>
    <w:r>
      <w:pict>
        <v:line id="_x0000_s1027" o:spid="_x0000_s1027" o:spt="20" style="position:absolute;left:0pt;margin-left:-0.75pt;margin-top:-4.95pt;height:0pt;width:442.5pt;z-index:251662336;mso-width-relative:page;mso-height-relative:page;" stroked="t" coordsize="21600,21600" o:gfxdata="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NG1ddgAAAAIAQAADwAAAAAAAAABACAAAAAiAAAAZHJzL2Rv&#10;d25yZXYueG1sUEsBAhQAFAAAAAgAh07iQIpYs1MBAgAAAQQAAA4AAAAAAAAAAQAgAAAAJwEAAGRy&#10;cy9lMm9Eb2MueG1sUEsFBgAAAAAGAAYAWQEAAJoFAAAAAA==&#10;">
          <v:path arrowok="t"/>
          <v:fill focussize="0,0"/>
          <v:stroke weight="4.5pt" color="#7F7F7F" linestyle="thickThin"/>
          <v:imagedata o:title=""/>
          <o:lock v:ext="edit"/>
        </v:lin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仿宋"/>
      </w:rPr>
    </w:pPr>
    <w:r>
      <w:pict>
        <v:line id="_x0000_s1026" o:spid="_x0000_s1026" o:spt="20" style="position:absolute;left:0pt;margin-left:-2.25pt;margin-top:14.85pt;height:0pt;width:442.5pt;z-index:251661312;mso-width-relative:page;mso-height-relative:page;" coordsize="21600,21600" o:gfxdata="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2Y&#10;86DWAAAACAEAAA8AAAAAAAAAAQAgAAAAIgAAAGRycy9kb3ducmV2LnhtbFBLAQIUABQAAAAIAIdO&#10;4kDGY1kL7AEAANgDAAAOAAAAAAAAAAEAIAAAACUBAABkcnMvZTJvRG9jLnhtbFBLBQYAAAAABgAG&#10;AFkBAACDBQAAAAA=&#10;">
          <v:path arrowok="t"/>
          <v:fill focussize="0,0"/>
          <v:stroke/>
          <v:imagedata o:title=""/>
          <o:lock v:ext="edit"/>
        </v:line>
      </w:pict>
    </w:r>
    <w:r>
      <w:rPr>
        <w:rFonts w:hint="eastAsia" w:ascii="仿宋" w:hAnsi="仿宋" w:eastAsia="仿宋"/>
        <w:sz w:val="20"/>
        <w:szCs w:val="16"/>
      </w:rPr>
      <w:t>巫溪县2019年涉农整合资金特色产业发展项目绩效评价报告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2E496F"/>
    <w:multiLevelType w:val="singleLevel"/>
    <w:tmpl w:val="602E496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FFE68E4"/>
    <w:rsid w:val="00030077"/>
    <w:rsid w:val="00033848"/>
    <w:rsid w:val="000352B5"/>
    <w:rsid w:val="00036B06"/>
    <w:rsid w:val="0006646C"/>
    <w:rsid w:val="000C79F1"/>
    <w:rsid w:val="000E4134"/>
    <w:rsid w:val="000F5C1B"/>
    <w:rsid w:val="000F659F"/>
    <w:rsid w:val="001233E4"/>
    <w:rsid w:val="0015471A"/>
    <w:rsid w:val="00161F1E"/>
    <w:rsid w:val="001979AA"/>
    <w:rsid w:val="001A1225"/>
    <w:rsid w:val="001A53B4"/>
    <w:rsid w:val="001C46E2"/>
    <w:rsid w:val="001D5473"/>
    <w:rsid w:val="001D609D"/>
    <w:rsid w:val="001E0337"/>
    <w:rsid w:val="001E1C2D"/>
    <w:rsid w:val="001E3BC0"/>
    <w:rsid w:val="001F5ED2"/>
    <w:rsid w:val="00207584"/>
    <w:rsid w:val="0029107F"/>
    <w:rsid w:val="0029633E"/>
    <w:rsid w:val="0029697C"/>
    <w:rsid w:val="002B01AA"/>
    <w:rsid w:val="002B4F4D"/>
    <w:rsid w:val="002C2289"/>
    <w:rsid w:val="002D5FC0"/>
    <w:rsid w:val="002D6FA5"/>
    <w:rsid w:val="003066E7"/>
    <w:rsid w:val="003227BF"/>
    <w:rsid w:val="0032533B"/>
    <w:rsid w:val="00325B1B"/>
    <w:rsid w:val="003269ED"/>
    <w:rsid w:val="00334CB2"/>
    <w:rsid w:val="00336D42"/>
    <w:rsid w:val="003519F1"/>
    <w:rsid w:val="00371C3B"/>
    <w:rsid w:val="003937A9"/>
    <w:rsid w:val="003B248B"/>
    <w:rsid w:val="003C1949"/>
    <w:rsid w:val="003E02E7"/>
    <w:rsid w:val="003E37D1"/>
    <w:rsid w:val="003E6AD1"/>
    <w:rsid w:val="003E77B6"/>
    <w:rsid w:val="003F1413"/>
    <w:rsid w:val="003F1C77"/>
    <w:rsid w:val="0040501E"/>
    <w:rsid w:val="0041052C"/>
    <w:rsid w:val="0041202F"/>
    <w:rsid w:val="004153C2"/>
    <w:rsid w:val="00422A66"/>
    <w:rsid w:val="0047241F"/>
    <w:rsid w:val="00484467"/>
    <w:rsid w:val="004A4BEC"/>
    <w:rsid w:val="004B12BE"/>
    <w:rsid w:val="004B254B"/>
    <w:rsid w:val="004D05C5"/>
    <w:rsid w:val="004E4AF9"/>
    <w:rsid w:val="004E771F"/>
    <w:rsid w:val="005245BF"/>
    <w:rsid w:val="00532BC1"/>
    <w:rsid w:val="0053720A"/>
    <w:rsid w:val="00541308"/>
    <w:rsid w:val="005750B6"/>
    <w:rsid w:val="00577F66"/>
    <w:rsid w:val="00590FE8"/>
    <w:rsid w:val="00593CB3"/>
    <w:rsid w:val="005C15F2"/>
    <w:rsid w:val="005C4410"/>
    <w:rsid w:val="005F6A9E"/>
    <w:rsid w:val="006016BE"/>
    <w:rsid w:val="0061021C"/>
    <w:rsid w:val="00610E3A"/>
    <w:rsid w:val="0062676F"/>
    <w:rsid w:val="00646189"/>
    <w:rsid w:val="006714F2"/>
    <w:rsid w:val="00672802"/>
    <w:rsid w:val="00681F2C"/>
    <w:rsid w:val="0068447B"/>
    <w:rsid w:val="00685BCD"/>
    <w:rsid w:val="006A22AE"/>
    <w:rsid w:val="006A7CF8"/>
    <w:rsid w:val="006B794A"/>
    <w:rsid w:val="006C6F1F"/>
    <w:rsid w:val="006E06FB"/>
    <w:rsid w:val="006E7C9C"/>
    <w:rsid w:val="006F2864"/>
    <w:rsid w:val="0070394E"/>
    <w:rsid w:val="00711D01"/>
    <w:rsid w:val="007203E8"/>
    <w:rsid w:val="00733CFE"/>
    <w:rsid w:val="0076301A"/>
    <w:rsid w:val="007732B2"/>
    <w:rsid w:val="007B5660"/>
    <w:rsid w:val="007C0672"/>
    <w:rsid w:val="007C0781"/>
    <w:rsid w:val="007D4409"/>
    <w:rsid w:val="007D7BA1"/>
    <w:rsid w:val="007F335C"/>
    <w:rsid w:val="007F529D"/>
    <w:rsid w:val="007F5407"/>
    <w:rsid w:val="008100C2"/>
    <w:rsid w:val="0081334B"/>
    <w:rsid w:val="00825192"/>
    <w:rsid w:val="0083073D"/>
    <w:rsid w:val="00836A86"/>
    <w:rsid w:val="00840099"/>
    <w:rsid w:val="00850ABB"/>
    <w:rsid w:val="0086378A"/>
    <w:rsid w:val="0086535E"/>
    <w:rsid w:val="00867D0E"/>
    <w:rsid w:val="00877DAD"/>
    <w:rsid w:val="008C3E4E"/>
    <w:rsid w:val="008F45A6"/>
    <w:rsid w:val="0092461A"/>
    <w:rsid w:val="00935369"/>
    <w:rsid w:val="00941A4A"/>
    <w:rsid w:val="00945D99"/>
    <w:rsid w:val="009474F7"/>
    <w:rsid w:val="00983474"/>
    <w:rsid w:val="009A7CB2"/>
    <w:rsid w:val="009B468C"/>
    <w:rsid w:val="009B562E"/>
    <w:rsid w:val="009C4A71"/>
    <w:rsid w:val="009C51D6"/>
    <w:rsid w:val="009F005D"/>
    <w:rsid w:val="00A30CC7"/>
    <w:rsid w:val="00A42D22"/>
    <w:rsid w:val="00A463D1"/>
    <w:rsid w:val="00A504D7"/>
    <w:rsid w:val="00A83319"/>
    <w:rsid w:val="00AA56C9"/>
    <w:rsid w:val="00AB6393"/>
    <w:rsid w:val="00AE1ECF"/>
    <w:rsid w:val="00AE25CA"/>
    <w:rsid w:val="00B003ED"/>
    <w:rsid w:val="00B240D9"/>
    <w:rsid w:val="00B275C6"/>
    <w:rsid w:val="00B43B2C"/>
    <w:rsid w:val="00B473B1"/>
    <w:rsid w:val="00B665B1"/>
    <w:rsid w:val="00B862A9"/>
    <w:rsid w:val="00BA6E24"/>
    <w:rsid w:val="00BB0A53"/>
    <w:rsid w:val="00BD237E"/>
    <w:rsid w:val="00BE4A29"/>
    <w:rsid w:val="00C01128"/>
    <w:rsid w:val="00C06A1C"/>
    <w:rsid w:val="00C279EF"/>
    <w:rsid w:val="00C33757"/>
    <w:rsid w:val="00C348AC"/>
    <w:rsid w:val="00C3496F"/>
    <w:rsid w:val="00C40F9D"/>
    <w:rsid w:val="00C415D4"/>
    <w:rsid w:val="00C5080A"/>
    <w:rsid w:val="00C557DD"/>
    <w:rsid w:val="00C616E5"/>
    <w:rsid w:val="00C70893"/>
    <w:rsid w:val="00CA2D4C"/>
    <w:rsid w:val="00CA6299"/>
    <w:rsid w:val="00CD5027"/>
    <w:rsid w:val="00CD59B6"/>
    <w:rsid w:val="00CE03CB"/>
    <w:rsid w:val="00CE062A"/>
    <w:rsid w:val="00CE16E7"/>
    <w:rsid w:val="00D00A65"/>
    <w:rsid w:val="00D0371F"/>
    <w:rsid w:val="00D30AAC"/>
    <w:rsid w:val="00D35EA5"/>
    <w:rsid w:val="00D4369D"/>
    <w:rsid w:val="00D54C68"/>
    <w:rsid w:val="00D60090"/>
    <w:rsid w:val="00D66CF8"/>
    <w:rsid w:val="00D75364"/>
    <w:rsid w:val="00DB4E69"/>
    <w:rsid w:val="00DE40D0"/>
    <w:rsid w:val="00DF0132"/>
    <w:rsid w:val="00DF5764"/>
    <w:rsid w:val="00E041E3"/>
    <w:rsid w:val="00E13CD1"/>
    <w:rsid w:val="00E408BF"/>
    <w:rsid w:val="00E501D8"/>
    <w:rsid w:val="00E57FD1"/>
    <w:rsid w:val="00E66A17"/>
    <w:rsid w:val="00E67BED"/>
    <w:rsid w:val="00E70E48"/>
    <w:rsid w:val="00E719B4"/>
    <w:rsid w:val="00E9478F"/>
    <w:rsid w:val="00EA4C52"/>
    <w:rsid w:val="00EC0D4A"/>
    <w:rsid w:val="00EE3EC7"/>
    <w:rsid w:val="00EF0A2E"/>
    <w:rsid w:val="00EF3EE1"/>
    <w:rsid w:val="00EF4D0B"/>
    <w:rsid w:val="00F10F79"/>
    <w:rsid w:val="00F15BFA"/>
    <w:rsid w:val="00F1747A"/>
    <w:rsid w:val="00F4568C"/>
    <w:rsid w:val="00F55ABC"/>
    <w:rsid w:val="00F56C0B"/>
    <w:rsid w:val="00F64390"/>
    <w:rsid w:val="00F74909"/>
    <w:rsid w:val="00F761EA"/>
    <w:rsid w:val="00F82568"/>
    <w:rsid w:val="00F948E8"/>
    <w:rsid w:val="00FE12ED"/>
    <w:rsid w:val="00FE1636"/>
    <w:rsid w:val="00FF50E6"/>
    <w:rsid w:val="015220C8"/>
    <w:rsid w:val="01E536DC"/>
    <w:rsid w:val="02A80856"/>
    <w:rsid w:val="02C531E1"/>
    <w:rsid w:val="035334D7"/>
    <w:rsid w:val="03B033ED"/>
    <w:rsid w:val="03B2540F"/>
    <w:rsid w:val="04FC3E9E"/>
    <w:rsid w:val="0616129F"/>
    <w:rsid w:val="06A4751A"/>
    <w:rsid w:val="075F0B42"/>
    <w:rsid w:val="09722BB4"/>
    <w:rsid w:val="09C452C1"/>
    <w:rsid w:val="09E74E5D"/>
    <w:rsid w:val="0A10205F"/>
    <w:rsid w:val="0B9F0865"/>
    <w:rsid w:val="0DB45A71"/>
    <w:rsid w:val="0E007B35"/>
    <w:rsid w:val="0E2B4AD2"/>
    <w:rsid w:val="0E584BAC"/>
    <w:rsid w:val="0E657C27"/>
    <w:rsid w:val="0E6F5AE4"/>
    <w:rsid w:val="0EA21BDD"/>
    <w:rsid w:val="0F295122"/>
    <w:rsid w:val="0F737926"/>
    <w:rsid w:val="0FC4342F"/>
    <w:rsid w:val="0FD842B9"/>
    <w:rsid w:val="109727D5"/>
    <w:rsid w:val="110A1A2C"/>
    <w:rsid w:val="115757A1"/>
    <w:rsid w:val="12A51367"/>
    <w:rsid w:val="134A2A5C"/>
    <w:rsid w:val="14237276"/>
    <w:rsid w:val="14D62682"/>
    <w:rsid w:val="150A4EC2"/>
    <w:rsid w:val="15397C66"/>
    <w:rsid w:val="16251F17"/>
    <w:rsid w:val="16BB27C5"/>
    <w:rsid w:val="17C1593A"/>
    <w:rsid w:val="17EE274F"/>
    <w:rsid w:val="18B0796E"/>
    <w:rsid w:val="198D7398"/>
    <w:rsid w:val="1A3E70FE"/>
    <w:rsid w:val="1B4712F0"/>
    <w:rsid w:val="1B4F0EED"/>
    <w:rsid w:val="1C7C2462"/>
    <w:rsid w:val="1E2D3F6E"/>
    <w:rsid w:val="1EB408C7"/>
    <w:rsid w:val="1EE14947"/>
    <w:rsid w:val="1EFE0DB5"/>
    <w:rsid w:val="1F1E1208"/>
    <w:rsid w:val="1F870B43"/>
    <w:rsid w:val="1FD312E9"/>
    <w:rsid w:val="2048414C"/>
    <w:rsid w:val="20693014"/>
    <w:rsid w:val="207529FA"/>
    <w:rsid w:val="20990555"/>
    <w:rsid w:val="20E90A81"/>
    <w:rsid w:val="21123213"/>
    <w:rsid w:val="211A29C3"/>
    <w:rsid w:val="21903A95"/>
    <w:rsid w:val="21962081"/>
    <w:rsid w:val="223C1851"/>
    <w:rsid w:val="22674EC3"/>
    <w:rsid w:val="227304A1"/>
    <w:rsid w:val="22E17285"/>
    <w:rsid w:val="240000FA"/>
    <w:rsid w:val="244A4AE1"/>
    <w:rsid w:val="248357EF"/>
    <w:rsid w:val="248E4BF2"/>
    <w:rsid w:val="24A82FFA"/>
    <w:rsid w:val="25FB1FBE"/>
    <w:rsid w:val="264C0238"/>
    <w:rsid w:val="266D5C1E"/>
    <w:rsid w:val="26F90FF6"/>
    <w:rsid w:val="2751284A"/>
    <w:rsid w:val="2764402B"/>
    <w:rsid w:val="27F16C9A"/>
    <w:rsid w:val="285E2A37"/>
    <w:rsid w:val="297B3001"/>
    <w:rsid w:val="29F9510F"/>
    <w:rsid w:val="2A1E6E5A"/>
    <w:rsid w:val="2C72135C"/>
    <w:rsid w:val="2CB16B90"/>
    <w:rsid w:val="2E2817FD"/>
    <w:rsid w:val="3093636F"/>
    <w:rsid w:val="30EE0E0E"/>
    <w:rsid w:val="311C52F0"/>
    <w:rsid w:val="31613022"/>
    <w:rsid w:val="31857D88"/>
    <w:rsid w:val="346918E0"/>
    <w:rsid w:val="368A5A41"/>
    <w:rsid w:val="36B444A1"/>
    <w:rsid w:val="36CB32B0"/>
    <w:rsid w:val="36D859B4"/>
    <w:rsid w:val="37176F42"/>
    <w:rsid w:val="38BD4DB8"/>
    <w:rsid w:val="38CF1BB2"/>
    <w:rsid w:val="39354792"/>
    <w:rsid w:val="393F01E1"/>
    <w:rsid w:val="39E66C6B"/>
    <w:rsid w:val="3C6F7FB2"/>
    <w:rsid w:val="3CB77D58"/>
    <w:rsid w:val="3D1B7B3A"/>
    <w:rsid w:val="3ED10BFB"/>
    <w:rsid w:val="3F00090F"/>
    <w:rsid w:val="405A367A"/>
    <w:rsid w:val="40BB463F"/>
    <w:rsid w:val="40CB0E98"/>
    <w:rsid w:val="40E35641"/>
    <w:rsid w:val="418775C6"/>
    <w:rsid w:val="41BC486F"/>
    <w:rsid w:val="42A23DF6"/>
    <w:rsid w:val="42B11D42"/>
    <w:rsid w:val="4307413F"/>
    <w:rsid w:val="43A17304"/>
    <w:rsid w:val="43A43479"/>
    <w:rsid w:val="43EB4FC4"/>
    <w:rsid w:val="446552B3"/>
    <w:rsid w:val="44944A50"/>
    <w:rsid w:val="44B05997"/>
    <w:rsid w:val="44C0472F"/>
    <w:rsid w:val="475C6E25"/>
    <w:rsid w:val="47AC7948"/>
    <w:rsid w:val="47CC1BA9"/>
    <w:rsid w:val="47E635F3"/>
    <w:rsid w:val="47EA583B"/>
    <w:rsid w:val="48FA71E8"/>
    <w:rsid w:val="492C3F5F"/>
    <w:rsid w:val="495A0A5F"/>
    <w:rsid w:val="49870971"/>
    <w:rsid w:val="49A54583"/>
    <w:rsid w:val="49AD3B71"/>
    <w:rsid w:val="49F816F1"/>
    <w:rsid w:val="4B6154A8"/>
    <w:rsid w:val="4B78414C"/>
    <w:rsid w:val="4C183B72"/>
    <w:rsid w:val="4C8233F2"/>
    <w:rsid w:val="4CC623EF"/>
    <w:rsid w:val="4D772623"/>
    <w:rsid w:val="4F7B3D3C"/>
    <w:rsid w:val="4FE405F5"/>
    <w:rsid w:val="5016687E"/>
    <w:rsid w:val="519E3215"/>
    <w:rsid w:val="52D60BAB"/>
    <w:rsid w:val="53161063"/>
    <w:rsid w:val="5375681B"/>
    <w:rsid w:val="53D3496B"/>
    <w:rsid w:val="5432539B"/>
    <w:rsid w:val="55E360ED"/>
    <w:rsid w:val="55F74942"/>
    <w:rsid w:val="56134254"/>
    <w:rsid w:val="56B8362D"/>
    <w:rsid w:val="572C1DF7"/>
    <w:rsid w:val="57625434"/>
    <w:rsid w:val="57A35BC1"/>
    <w:rsid w:val="57CA6315"/>
    <w:rsid w:val="57E3219C"/>
    <w:rsid w:val="59174912"/>
    <w:rsid w:val="5A0961CB"/>
    <w:rsid w:val="5C896BC2"/>
    <w:rsid w:val="5CB52EB5"/>
    <w:rsid w:val="5D111B23"/>
    <w:rsid w:val="5D2B2316"/>
    <w:rsid w:val="5DD92140"/>
    <w:rsid w:val="5E3D57A7"/>
    <w:rsid w:val="5E4F08BD"/>
    <w:rsid w:val="5ECA2AC1"/>
    <w:rsid w:val="5EF323D3"/>
    <w:rsid w:val="5F1C0080"/>
    <w:rsid w:val="60E9687D"/>
    <w:rsid w:val="618C24E9"/>
    <w:rsid w:val="619B6567"/>
    <w:rsid w:val="648064FC"/>
    <w:rsid w:val="64F46F91"/>
    <w:rsid w:val="65052337"/>
    <w:rsid w:val="65AB1722"/>
    <w:rsid w:val="65BE41E4"/>
    <w:rsid w:val="65E10B6F"/>
    <w:rsid w:val="65EB14CB"/>
    <w:rsid w:val="661900C5"/>
    <w:rsid w:val="66BD57E4"/>
    <w:rsid w:val="6743782B"/>
    <w:rsid w:val="67B32441"/>
    <w:rsid w:val="67B52289"/>
    <w:rsid w:val="685B2579"/>
    <w:rsid w:val="695E4E50"/>
    <w:rsid w:val="6AD0211F"/>
    <w:rsid w:val="6B8E6205"/>
    <w:rsid w:val="6C736958"/>
    <w:rsid w:val="6F681FED"/>
    <w:rsid w:val="6F7275D3"/>
    <w:rsid w:val="700149B1"/>
    <w:rsid w:val="70104C91"/>
    <w:rsid w:val="70D71037"/>
    <w:rsid w:val="71083CF5"/>
    <w:rsid w:val="721F60DF"/>
    <w:rsid w:val="72793C31"/>
    <w:rsid w:val="73630F50"/>
    <w:rsid w:val="73761FE1"/>
    <w:rsid w:val="741C7BCF"/>
    <w:rsid w:val="754A5389"/>
    <w:rsid w:val="76192A6F"/>
    <w:rsid w:val="761B1A99"/>
    <w:rsid w:val="77374B14"/>
    <w:rsid w:val="778C6A44"/>
    <w:rsid w:val="78356D77"/>
    <w:rsid w:val="78996027"/>
    <w:rsid w:val="78A475CC"/>
    <w:rsid w:val="799D200B"/>
    <w:rsid w:val="7A7B1FDE"/>
    <w:rsid w:val="7A9000FB"/>
    <w:rsid w:val="7B3D2B5A"/>
    <w:rsid w:val="7B5A7C1B"/>
    <w:rsid w:val="7BF52D2C"/>
    <w:rsid w:val="7C445B3C"/>
    <w:rsid w:val="7CF54591"/>
    <w:rsid w:val="7D7059C6"/>
    <w:rsid w:val="7DFC7A36"/>
    <w:rsid w:val="7E7C6811"/>
    <w:rsid w:val="7EA772F2"/>
    <w:rsid w:val="7F020F1E"/>
    <w:rsid w:val="7FBD4A22"/>
    <w:rsid w:val="7FFE68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jc w:val="left"/>
      <w:outlineLvl w:val="0"/>
    </w:pPr>
    <w:rPr>
      <w:rFonts w:eastAsia="宋体"/>
      <w:b/>
      <w:bCs/>
      <w:kern w:val="44"/>
      <w:sz w:val="32"/>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仿宋"/>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qFormat/>
    <w:uiPriority w:val="0"/>
    <w:pPr>
      <w:jc w:val="left"/>
    </w:pPr>
  </w:style>
  <w:style w:type="paragraph" w:styleId="5">
    <w:name w:val="Body Text"/>
    <w:basedOn w:val="1"/>
    <w:qFormat/>
    <w:uiPriority w:val="0"/>
    <w:rPr>
      <w:rFonts w:eastAsia="方正仿宋_GBK"/>
      <w:sz w:val="33"/>
      <w:szCs w:val="33"/>
    </w:rPr>
  </w:style>
  <w:style w:type="paragraph" w:styleId="6">
    <w:name w:val="Balloon Text"/>
    <w:basedOn w:val="1"/>
    <w:link w:val="28"/>
    <w:qFormat/>
    <w:uiPriority w:val="0"/>
    <w:rPr>
      <w:sz w:val="18"/>
      <w:szCs w:val="18"/>
    </w:rPr>
  </w:style>
  <w:style w:type="paragraph" w:styleId="7">
    <w:name w:val="footer"/>
    <w:basedOn w:val="1"/>
    <w:qFormat/>
    <w:uiPriority w:val="0"/>
    <w:pPr>
      <w:tabs>
        <w:tab w:val="center" w:pos="4153"/>
        <w:tab w:val="right" w:pos="8306"/>
      </w:tabs>
      <w:snapToGrid w:val="0"/>
      <w:jc w:val="left"/>
    </w:pPr>
    <w:rPr>
      <w:rFonts w:eastAsia="宋体"/>
      <w:sz w:val="21"/>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9">
    <w:name w:val="toc 1"/>
    <w:basedOn w:val="1"/>
    <w:next w:val="1"/>
    <w:qFormat/>
    <w:uiPriority w:val="39"/>
    <w:pPr>
      <w:tabs>
        <w:tab w:val="right" w:leader="dot" w:pos="8850"/>
      </w:tabs>
      <w:spacing w:line="600" w:lineRule="exact"/>
    </w:pPr>
    <w:rPr>
      <w:rFonts w:ascii="仿宋_GB2312" w:hAnsi="仿宋" w:eastAsia="宋体"/>
      <w:color w:val="000000"/>
    </w:rPr>
  </w:style>
  <w:style w:type="paragraph" w:styleId="10">
    <w:name w:val="Normal (Web)"/>
    <w:basedOn w:val="1"/>
    <w:qFormat/>
    <w:uiPriority w:val="0"/>
    <w:pPr>
      <w:jc w:val="left"/>
    </w:pPr>
    <w:rPr>
      <w:kern w:val="0"/>
      <w:sz w:val="24"/>
    </w:rPr>
  </w:style>
  <w:style w:type="paragraph" w:styleId="11">
    <w:name w:val="annotation subject"/>
    <w:basedOn w:val="4"/>
    <w:next w:val="4"/>
    <w:link w:val="30"/>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0"/>
    <w:rPr>
      <w:rFonts w:ascii="Times New Roman" w:hAnsi="Times New Roman" w:eastAsia="宋体" w:cs="Times New Roman"/>
    </w:rPr>
  </w:style>
  <w:style w:type="character" w:styleId="16">
    <w:name w:val="FollowedHyperlink"/>
    <w:basedOn w:val="14"/>
    <w:qFormat/>
    <w:uiPriority w:val="0"/>
    <w:rPr>
      <w:color w:val="333333"/>
      <w:u w:val="none"/>
    </w:rPr>
  </w:style>
  <w:style w:type="character" w:styleId="17">
    <w:name w:val="Emphasis"/>
    <w:basedOn w:val="14"/>
    <w:qFormat/>
    <w:uiPriority w:val="0"/>
  </w:style>
  <w:style w:type="character" w:styleId="18">
    <w:name w:val="HTML Definition"/>
    <w:basedOn w:val="14"/>
    <w:qFormat/>
    <w:uiPriority w:val="0"/>
  </w:style>
  <w:style w:type="character" w:styleId="19">
    <w:name w:val="HTML Acronym"/>
    <w:basedOn w:val="14"/>
    <w:qFormat/>
    <w:uiPriority w:val="0"/>
  </w:style>
  <w:style w:type="character" w:styleId="20">
    <w:name w:val="HTML Variable"/>
    <w:basedOn w:val="14"/>
    <w:qFormat/>
    <w:uiPriority w:val="0"/>
  </w:style>
  <w:style w:type="character" w:styleId="21">
    <w:name w:val="Hyperlink"/>
    <w:basedOn w:val="14"/>
    <w:unhideWhenUsed/>
    <w:qFormat/>
    <w:uiPriority w:val="99"/>
    <w:rPr>
      <w:color w:val="0563C1" w:themeColor="hyperlink"/>
      <w:u w:val="single"/>
    </w:rPr>
  </w:style>
  <w:style w:type="character" w:styleId="22">
    <w:name w:val="HTML Code"/>
    <w:basedOn w:val="14"/>
    <w:qFormat/>
    <w:uiPriority w:val="0"/>
    <w:rPr>
      <w:rFonts w:ascii="Courier New" w:hAnsi="Courier New"/>
      <w:sz w:val="20"/>
    </w:rPr>
  </w:style>
  <w:style w:type="character" w:styleId="23">
    <w:name w:val="annotation reference"/>
    <w:basedOn w:val="14"/>
    <w:qFormat/>
    <w:uiPriority w:val="0"/>
    <w:rPr>
      <w:sz w:val="21"/>
      <w:szCs w:val="21"/>
    </w:rPr>
  </w:style>
  <w:style w:type="character" w:styleId="24">
    <w:name w:val="HTML Cite"/>
    <w:basedOn w:val="14"/>
    <w:qFormat/>
    <w:uiPriority w:val="0"/>
  </w:style>
  <w:style w:type="paragraph" w:customStyle="1" w:styleId="25">
    <w:name w:val="样式 样式 标题 2 + 段前: 5 磅 段后: 5 磅 + 段前: 0.5 行 段后: 0.5 行"/>
    <w:basedOn w:val="26"/>
    <w:link w:val="31"/>
    <w:qFormat/>
    <w:uiPriority w:val="0"/>
    <w:rPr>
      <w:rFonts w:cs="Times New Roman"/>
    </w:rPr>
  </w:style>
  <w:style w:type="paragraph" w:customStyle="1" w:styleId="26">
    <w:name w:val="样式 标题 1 + 段前: 5 磅 段后: 5 磅"/>
    <w:basedOn w:val="2"/>
    <w:qFormat/>
    <w:uiPriority w:val="0"/>
    <w:pPr>
      <w:spacing w:beforeLines="50" w:afterLines="50" w:line="596" w:lineRule="exact"/>
    </w:pPr>
    <w:rPr>
      <w:rFonts w:cs="宋体"/>
      <w:szCs w:val="20"/>
    </w:rPr>
  </w:style>
  <w:style w:type="paragraph" w:customStyle="1" w:styleId="27">
    <w:name w:val="reader-word-layer reader-word-s4-1"/>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
    <w:name w:val="批注框文本 Char"/>
    <w:basedOn w:val="14"/>
    <w:link w:val="6"/>
    <w:qFormat/>
    <w:uiPriority w:val="0"/>
    <w:rPr>
      <w:rFonts w:eastAsia="仿宋_GB2312"/>
      <w:kern w:val="2"/>
      <w:sz w:val="18"/>
      <w:szCs w:val="18"/>
    </w:rPr>
  </w:style>
  <w:style w:type="character" w:customStyle="1" w:styleId="29">
    <w:name w:val="批注文字 Char"/>
    <w:basedOn w:val="14"/>
    <w:link w:val="4"/>
    <w:qFormat/>
    <w:uiPriority w:val="0"/>
    <w:rPr>
      <w:rFonts w:eastAsia="仿宋_GB2312"/>
      <w:kern w:val="2"/>
      <w:sz w:val="30"/>
      <w:szCs w:val="24"/>
    </w:rPr>
  </w:style>
  <w:style w:type="character" w:customStyle="1" w:styleId="30">
    <w:name w:val="批注主题 Char"/>
    <w:basedOn w:val="29"/>
    <w:link w:val="11"/>
    <w:qFormat/>
    <w:uiPriority w:val="0"/>
    <w:rPr>
      <w:rFonts w:eastAsia="仿宋_GB2312"/>
      <w:b/>
      <w:bCs/>
      <w:kern w:val="2"/>
      <w:sz w:val="30"/>
      <w:szCs w:val="24"/>
    </w:rPr>
  </w:style>
  <w:style w:type="character" w:customStyle="1" w:styleId="31">
    <w:name w:val="样式 样式 标题 2 + 段前: 5 磅 段后: 5 磅 + 段前: 0.5 行 段后: 0.5 行 Char"/>
    <w:link w:val="25"/>
    <w:qFormat/>
    <w:uiPriority w:val="0"/>
    <w:rPr>
      <w:rFonts w:cs="Times New Roman"/>
    </w:rPr>
  </w:style>
  <w:style w:type="character" w:customStyle="1" w:styleId="32">
    <w:name w:val="tyhl"/>
    <w:basedOn w:val="14"/>
    <w:qFormat/>
    <w:uiPriority w:val="0"/>
    <w:rPr>
      <w:shd w:val="clear" w:color="auto" w:fill="FFFFFF"/>
    </w:rPr>
  </w:style>
  <w:style w:type="character" w:customStyle="1" w:styleId="33">
    <w:name w:val="cur"/>
    <w:basedOn w:val="14"/>
    <w:qFormat/>
    <w:uiPriority w:val="0"/>
    <w:rPr>
      <w:shd w:val="clear" w:color="auto" w:fill="84B5FF"/>
    </w:rPr>
  </w:style>
  <w:style w:type="character" w:customStyle="1" w:styleId="34">
    <w:name w:val="cur1"/>
    <w:basedOn w:val="14"/>
    <w:qFormat/>
    <w:uiPriority w:val="0"/>
    <w:rPr>
      <w:color w:val="3354A2"/>
    </w:rPr>
  </w:style>
  <w:style w:type="character" w:customStyle="1" w:styleId="35">
    <w:name w:val="yjr"/>
    <w:basedOn w:val="14"/>
    <w:qFormat/>
    <w:uiPriority w:val="0"/>
  </w:style>
  <w:style w:type="character" w:customStyle="1" w:styleId="36">
    <w:name w:val="tit18"/>
    <w:basedOn w:val="14"/>
    <w:qFormat/>
    <w:uiPriority w:val="0"/>
    <w:rPr>
      <w:b/>
      <w:color w:val="333333"/>
      <w:sz w:val="19"/>
      <w:szCs w:val="19"/>
    </w:rPr>
  </w:style>
  <w:style w:type="character" w:customStyle="1" w:styleId="37">
    <w:name w:val="yj-blue"/>
    <w:basedOn w:val="14"/>
    <w:qFormat/>
    <w:uiPriority w:val="0"/>
    <w:rPr>
      <w:b/>
      <w:color w:val="FFFFFF"/>
      <w:sz w:val="10"/>
      <w:szCs w:val="10"/>
      <w:shd w:val="clear" w:color="auto" w:fill="1E84CB"/>
    </w:rPr>
  </w:style>
  <w:style w:type="character" w:customStyle="1" w:styleId="38">
    <w:name w:val="name4"/>
    <w:basedOn w:val="14"/>
    <w:qFormat/>
    <w:uiPriority w:val="0"/>
    <w:rPr>
      <w:color w:val="2760B7"/>
    </w:rPr>
  </w:style>
  <w:style w:type="character" w:customStyle="1" w:styleId="39">
    <w:name w:val="con5"/>
    <w:basedOn w:val="14"/>
    <w:qFormat/>
    <w:uiPriority w:val="0"/>
  </w:style>
  <w:style w:type="character" w:customStyle="1" w:styleId="40">
    <w:name w:val="hover44"/>
    <w:basedOn w:val="14"/>
    <w:qFormat/>
    <w:uiPriority w:val="0"/>
    <w:rPr>
      <w:b/>
    </w:rPr>
  </w:style>
  <w:style w:type="character" w:customStyle="1" w:styleId="41">
    <w:name w:val="w100"/>
    <w:basedOn w:val="14"/>
    <w:qFormat/>
    <w:uiPriority w:val="0"/>
  </w:style>
  <w:style w:type="character" w:customStyle="1" w:styleId="42">
    <w:name w:val="red"/>
    <w:basedOn w:val="14"/>
    <w:qFormat/>
    <w:uiPriority w:val="0"/>
    <w:rPr>
      <w:color w:val="E1211F"/>
    </w:rPr>
  </w:style>
  <w:style w:type="character" w:customStyle="1" w:styleId="43">
    <w:name w:val="red1"/>
    <w:basedOn w:val="14"/>
    <w:qFormat/>
    <w:uiPriority w:val="0"/>
    <w:rPr>
      <w:color w:val="E1211F"/>
    </w:rPr>
  </w:style>
  <w:style w:type="character" w:customStyle="1" w:styleId="44">
    <w:name w:val="red2"/>
    <w:basedOn w:val="14"/>
    <w:qFormat/>
    <w:uiPriority w:val="0"/>
    <w:rPr>
      <w:color w:val="E33938"/>
      <w:u w:val="single"/>
    </w:rPr>
  </w:style>
  <w:style w:type="character" w:customStyle="1" w:styleId="45">
    <w:name w:val="red3"/>
    <w:basedOn w:val="14"/>
    <w:qFormat/>
    <w:uiPriority w:val="0"/>
    <w:rPr>
      <w:color w:val="E1211F"/>
      <w:u w:val="single"/>
    </w:rPr>
  </w:style>
  <w:style w:type="character" w:customStyle="1" w:styleId="46">
    <w:name w:val="red4"/>
    <w:basedOn w:val="14"/>
    <w:qFormat/>
    <w:uiPriority w:val="0"/>
    <w:rPr>
      <w:color w:val="E1211F"/>
    </w:rPr>
  </w:style>
  <w:style w:type="character" w:customStyle="1" w:styleId="47">
    <w:name w:val="yj-time"/>
    <w:basedOn w:val="14"/>
    <w:qFormat/>
    <w:uiPriority w:val="0"/>
    <w:rPr>
      <w:color w:val="AAAAAA"/>
      <w:sz w:val="9"/>
      <w:szCs w:val="9"/>
    </w:rPr>
  </w:style>
  <w:style w:type="character" w:customStyle="1" w:styleId="48">
    <w:name w:val="yj-time1"/>
    <w:basedOn w:val="14"/>
    <w:qFormat/>
    <w:uiPriority w:val="0"/>
    <w:rPr>
      <w:color w:val="AAAAAA"/>
      <w:sz w:val="9"/>
      <w:szCs w:val="9"/>
    </w:rPr>
  </w:style>
  <w:style w:type="character" w:customStyle="1" w:styleId="49">
    <w:name w:val="yjl"/>
    <w:basedOn w:val="14"/>
    <w:qFormat/>
    <w:uiPriority w:val="0"/>
    <w:rPr>
      <w:color w:val="999999"/>
    </w:rPr>
  </w:style>
  <w:style w:type="character" w:customStyle="1" w:styleId="50">
    <w:name w:val="red5"/>
    <w:basedOn w:val="14"/>
    <w:qFormat/>
    <w:uiPriority w:val="0"/>
    <w:rPr>
      <w:color w:val="E1211F"/>
    </w:rPr>
  </w:style>
  <w:style w:type="character" w:customStyle="1" w:styleId="51">
    <w:name w:val="cur14"/>
    <w:basedOn w:val="14"/>
    <w:qFormat/>
    <w:uiPriority w:val="0"/>
    <w:rPr>
      <w:shd w:val="clear" w:color="auto" w:fill="84B5FF"/>
    </w:rPr>
  </w:style>
  <w:style w:type="character" w:customStyle="1" w:styleId="52">
    <w:name w:val="cur15"/>
    <w:basedOn w:val="14"/>
    <w:qFormat/>
    <w:uiPriority w:val="0"/>
    <w:rPr>
      <w:color w:val="3354A2"/>
    </w:rPr>
  </w:style>
  <w:style w:type="character" w:customStyle="1" w:styleId="53">
    <w:name w:val="con4"/>
    <w:basedOn w:val="14"/>
    <w:qFormat/>
    <w:uiPriority w:val="0"/>
  </w:style>
  <w:style w:type="character" w:customStyle="1" w:styleId="54">
    <w:name w:val="hover"/>
    <w:basedOn w:val="14"/>
    <w:qFormat/>
    <w:uiPriority w:val="0"/>
    <w:rPr>
      <w:color w:val="0068B7"/>
    </w:rPr>
  </w:style>
  <w:style w:type="character" w:customStyle="1" w:styleId="55">
    <w:name w:val="hover1"/>
    <w:basedOn w:val="14"/>
    <w:qFormat/>
    <w:uiPriority w:val="0"/>
    <w:rPr>
      <w:b/>
      <w:color w:val="FFFFFF"/>
    </w:rPr>
  </w:style>
  <w:style w:type="character" w:customStyle="1" w:styleId="56">
    <w:name w:val="s1"/>
    <w:basedOn w:val="14"/>
    <w:qFormat/>
    <w:uiPriority w:val="0"/>
  </w:style>
  <w:style w:type="character" w:customStyle="1" w:styleId="57">
    <w:name w:val="s11"/>
    <w:basedOn w:val="14"/>
    <w:qFormat/>
    <w:uiPriority w:val="0"/>
  </w:style>
  <w:style w:type="character" w:customStyle="1" w:styleId="58">
    <w:name w:val="ly"/>
    <w:basedOn w:val="14"/>
    <w:qFormat/>
    <w:uiPriority w:val="0"/>
    <w:rPr>
      <w:color w:val="999999"/>
      <w:sz w:val="10"/>
      <w:szCs w:val="10"/>
    </w:rPr>
  </w:style>
  <w:style w:type="character" w:customStyle="1" w:styleId="59">
    <w:name w:val="s2"/>
    <w:basedOn w:val="14"/>
    <w:qFormat/>
    <w:uiPriority w:val="0"/>
  </w:style>
  <w:style w:type="character" w:customStyle="1" w:styleId="60">
    <w:name w:val="s5"/>
    <w:basedOn w:val="14"/>
    <w:qFormat/>
    <w:uiPriority w:val="0"/>
  </w:style>
  <w:style w:type="character" w:customStyle="1" w:styleId="61">
    <w:name w:val="s3"/>
    <w:basedOn w:val="14"/>
    <w:qFormat/>
    <w:uiPriority w:val="0"/>
  </w:style>
  <w:style w:type="character" w:customStyle="1" w:styleId="62">
    <w:name w:val="s4"/>
    <w:basedOn w:val="14"/>
    <w:qFormat/>
    <w:uiPriority w:val="0"/>
  </w:style>
  <w:style w:type="character" w:customStyle="1" w:styleId="63">
    <w:name w:val="prev"/>
    <w:basedOn w:val="14"/>
    <w:qFormat/>
    <w:uiPriority w:val="0"/>
  </w:style>
  <w:style w:type="character" w:customStyle="1" w:styleId="64">
    <w:name w:val="next"/>
    <w:basedOn w:val="14"/>
    <w:qFormat/>
    <w:uiPriority w:val="0"/>
  </w:style>
  <w:style w:type="character" w:customStyle="1" w:styleId="65">
    <w:name w:val="font21"/>
    <w:basedOn w:val="14"/>
    <w:qFormat/>
    <w:uiPriority w:val="0"/>
    <w:rPr>
      <w:rFonts w:hint="eastAsia" w:ascii="仿宋" w:hAnsi="仿宋" w:eastAsia="仿宋" w:cs="仿宋"/>
      <w:b/>
      <w:color w:val="000000"/>
      <w:sz w:val="22"/>
      <w:szCs w:val="22"/>
      <w:u w:val="none"/>
    </w:rPr>
  </w:style>
  <w:style w:type="character" w:customStyle="1" w:styleId="66">
    <w:name w:val="current"/>
    <w:basedOn w:val="14"/>
    <w:qFormat/>
    <w:uiPriority w:val="0"/>
    <w:rPr>
      <w:b/>
      <w:color w:val="FFFFFF"/>
      <w:bdr w:val="single" w:color="1485FF" w:sz="6" w:space="0"/>
      <w:shd w:val="clear" w:color="auto" w:fill="1485FF"/>
    </w:rPr>
  </w:style>
  <w:style w:type="character" w:customStyle="1" w:styleId="67">
    <w:name w:val="current1"/>
    <w:basedOn w:val="14"/>
    <w:qFormat/>
    <w:uiPriority w:val="0"/>
    <w:rPr>
      <w:b/>
      <w:color w:val="FFFFFF"/>
      <w:bdr w:val="single" w:color="C5C5C5" w:sz="6" w:space="0"/>
      <w:shd w:val="clear" w:color="auto" w:fill="278100"/>
    </w:rPr>
  </w:style>
  <w:style w:type="character" w:customStyle="1" w:styleId="68">
    <w:name w:val="disabled"/>
    <w:basedOn w:val="14"/>
    <w:qFormat/>
    <w:uiPriority w:val="0"/>
    <w:rPr>
      <w:color w:val="C0C0C0"/>
      <w:bdr w:val="single" w:color="C5C5C5" w:sz="6" w:space="0"/>
    </w:rPr>
  </w:style>
  <w:style w:type="character" w:customStyle="1" w:styleId="69">
    <w:name w:val="disabled1"/>
    <w:basedOn w:val="14"/>
    <w:qFormat/>
    <w:uiPriority w:val="0"/>
    <w:rPr>
      <w:color w:val="999999"/>
      <w:bdr w:val="single" w:color="C5C5C5" w:sz="6" w:space="0"/>
    </w:rPr>
  </w:style>
  <w:style w:type="character" w:customStyle="1" w:styleId="70">
    <w:name w:val="chljeg"/>
    <w:basedOn w:val="14"/>
    <w:qFormat/>
    <w:uiPriority w:val="0"/>
    <w:rPr>
      <w:color w:val="E70000"/>
    </w:rPr>
  </w:style>
  <w:style w:type="character" w:customStyle="1" w:styleId="71">
    <w:name w:val="name"/>
    <w:basedOn w:val="14"/>
    <w:qFormat/>
    <w:uiPriority w:val="0"/>
  </w:style>
  <w:style w:type="character" w:customStyle="1" w:styleId="72">
    <w:name w:val="xjbm"/>
    <w:basedOn w:val="14"/>
    <w:qFormat/>
    <w:uiPriority w:val="0"/>
  </w:style>
  <w:style w:type="character" w:customStyle="1" w:styleId="73">
    <w:name w:val="shenhe"/>
    <w:basedOn w:val="14"/>
    <w:qFormat/>
    <w:uiPriority w:val="0"/>
    <w:rPr>
      <w:color w:val="007E09"/>
    </w:rPr>
  </w:style>
  <w:style w:type="character" w:customStyle="1" w:styleId="74">
    <w:name w:val="huifu"/>
    <w:basedOn w:val="14"/>
    <w:qFormat/>
    <w:uiPriority w:val="0"/>
  </w:style>
  <w:style w:type="character" w:customStyle="1" w:styleId="75">
    <w:name w:val="dengji"/>
    <w:basedOn w:val="14"/>
    <w:qFormat/>
    <w:uiPriority w:val="0"/>
  </w:style>
  <w:style w:type="character" w:customStyle="1" w:styleId="76">
    <w:name w:val="dengji1"/>
    <w:basedOn w:val="14"/>
    <w:qFormat/>
    <w:uiPriority w:val="0"/>
  </w:style>
  <w:style w:type="character" w:customStyle="1" w:styleId="77">
    <w:name w:val="paim"/>
    <w:basedOn w:val="14"/>
    <w:qFormat/>
    <w:uiPriority w:val="0"/>
  </w:style>
  <w:style w:type="character" w:customStyle="1" w:styleId="78">
    <w:name w:val="bsharetext"/>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C0533F-BD23-43E8-888F-4BFDDB1A7BC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1690</Words>
  <Characters>9634</Characters>
  <Lines>80</Lines>
  <Paragraphs>22</Paragraphs>
  <TotalTime>111</TotalTime>
  <ScaleCrop>false</ScaleCrop>
  <LinksUpToDate>false</LinksUpToDate>
  <CharactersWithSpaces>11302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2019-08-15T07:20:00Z</dcterms:created>
  <dc:creator>阿怪</dc:creator>
  <cp:lastModifiedBy>Mr.Yuan</cp:lastModifiedBy>
  <cp:lastPrinted>2021-01-28T02:16:00Z</cp:lastPrinted>
  <dcterms:modified xsi:type="dcterms:W3CDTF">2021-12-28T03:50:17Z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243060902_btnclosed</vt:lpwstr>
  </property>
  <property fmtid="{D5CDD505-2E9C-101B-9397-08002B2CF9AE}" pid="4" name="ICV">
    <vt:lpwstr>67C141CAAF834D918811419629FD64BC</vt:lpwstr>
  </property>
</Properties>
</file>