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02" w:firstLineChars="200"/>
        <w:jc w:val="left"/>
        <w:rPr>
          <w:rFonts w:ascii="仿宋_GB2312" w:hAnsi="仿宋"/>
          <w:b/>
          <w:szCs w:val="30"/>
        </w:rPr>
      </w:pPr>
      <w:bookmarkStart w:id="78" w:name="_GoBack"/>
      <w:bookmarkEnd w:id="78"/>
    </w:p>
    <w:p>
      <w:pPr>
        <w:spacing w:line="560" w:lineRule="exact"/>
        <w:jc w:val="left"/>
        <w:rPr>
          <w:rFonts w:ascii="仿宋_GB2312" w:hAnsi="仿宋"/>
          <w:b/>
          <w:szCs w:val="30"/>
        </w:rPr>
      </w:pPr>
    </w:p>
    <w:p>
      <w:pPr>
        <w:spacing w:beforeLines="100" w:line="560" w:lineRule="exact"/>
        <w:rPr>
          <w:rFonts w:ascii="仿宋_GB2312" w:hAnsi="仿宋"/>
          <w:b/>
          <w:szCs w:val="30"/>
        </w:rPr>
      </w:pPr>
      <w:bookmarkStart w:id="0" w:name="_Hlk16774390"/>
    </w:p>
    <w:p>
      <w:pPr>
        <w:pStyle w:val="2"/>
      </w:pPr>
    </w:p>
    <w:bookmarkEnd w:id="0"/>
    <w:p>
      <w:pPr>
        <w:spacing w:beforeLines="50" w:afterLines="50" w:line="360" w:lineRule="auto"/>
        <w:jc w:val="center"/>
        <w:rPr>
          <w:rFonts w:ascii="仿宋" w:hAnsi="仿宋" w:eastAsia="仿宋" w:cs="仿宋"/>
          <w:b/>
          <w:bCs/>
          <w:spacing w:val="-20"/>
          <w:sz w:val="36"/>
          <w:szCs w:val="36"/>
        </w:rPr>
      </w:pPr>
      <w:r>
        <w:rPr>
          <w:rFonts w:hint="eastAsia" w:ascii="仿宋" w:hAnsi="仿宋" w:eastAsia="仿宋" w:cs="仿宋"/>
          <w:b/>
          <w:bCs/>
          <w:spacing w:val="-20"/>
          <w:sz w:val="36"/>
          <w:szCs w:val="36"/>
        </w:rPr>
        <w:t>巫溪县2019年城市低保项目</w:t>
      </w:r>
    </w:p>
    <w:p>
      <w:pPr>
        <w:spacing w:beforeLines="50" w:afterLines="50" w:line="360" w:lineRule="auto"/>
        <w:jc w:val="center"/>
        <w:rPr>
          <w:rFonts w:ascii="仿宋" w:hAnsi="仿宋" w:eastAsia="仿宋" w:cs="仿宋"/>
          <w:b/>
          <w:bCs/>
          <w:sz w:val="44"/>
          <w:szCs w:val="44"/>
        </w:rPr>
      </w:pPr>
      <w:r>
        <w:rPr>
          <w:rFonts w:hint="eastAsia" w:ascii="仿宋" w:hAnsi="仿宋" w:eastAsia="仿宋" w:cs="仿宋"/>
          <w:b/>
          <w:bCs/>
          <w:sz w:val="44"/>
          <w:szCs w:val="44"/>
        </w:rPr>
        <w:t>绩效评价报告</w:t>
      </w:r>
    </w:p>
    <w:p>
      <w:pPr>
        <w:spacing w:line="600" w:lineRule="auto"/>
        <w:jc w:val="center"/>
        <w:rPr>
          <w:rFonts w:ascii="仿宋" w:hAnsi="仿宋" w:eastAsia="仿宋" w:cs="仿宋"/>
          <w:b/>
          <w:bCs/>
          <w:color w:val="000000"/>
          <w:spacing w:val="-10"/>
          <w:sz w:val="32"/>
          <w:szCs w:val="32"/>
        </w:rPr>
      </w:pPr>
      <w:r>
        <w:rPr>
          <w:rFonts w:hint="eastAsia" w:ascii="仿宋" w:hAnsi="仿宋" w:eastAsia="仿宋" w:cs="仿宋"/>
          <w:b/>
          <w:bCs/>
          <w:color w:val="000000"/>
          <w:spacing w:val="-10"/>
          <w:sz w:val="32"/>
          <w:szCs w:val="32"/>
        </w:rPr>
        <w:t>重通会所咨</w:t>
      </w:r>
      <w:r>
        <w:rPr>
          <w:rFonts w:hint="eastAsia" w:ascii="仿宋" w:hAnsi="仿宋" w:eastAsia="仿宋" w:cs="仿宋"/>
          <w:b/>
          <w:bCs/>
          <w:color w:val="000000"/>
          <w:spacing w:val="-10"/>
          <w:sz w:val="32"/>
          <w:szCs w:val="32"/>
          <w:lang w:eastAsia="zh-CN"/>
        </w:rPr>
        <w:t>〔2020〕</w:t>
      </w:r>
      <w:r>
        <w:rPr>
          <w:rFonts w:hint="eastAsia" w:ascii="仿宋" w:hAnsi="仿宋" w:eastAsia="仿宋" w:cs="仿宋"/>
          <w:b/>
          <w:bCs/>
          <w:color w:val="000000"/>
          <w:spacing w:val="-10"/>
          <w:sz w:val="32"/>
          <w:szCs w:val="32"/>
        </w:rPr>
        <w:t>0</w:t>
      </w:r>
      <w:r>
        <w:rPr>
          <w:rFonts w:hint="eastAsia" w:ascii="仿宋" w:hAnsi="仿宋" w:eastAsia="仿宋" w:cs="仿宋"/>
          <w:b/>
          <w:bCs/>
          <w:color w:val="000000"/>
          <w:spacing w:val="-10"/>
          <w:sz w:val="32"/>
          <w:szCs w:val="32"/>
          <w:lang w:val="en-US" w:eastAsia="zh-CN"/>
        </w:rPr>
        <w:t>66</w:t>
      </w:r>
      <w:r>
        <w:rPr>
          <w:rFonts w:hint="eastAsia" w:ascii="仿宋" w:hAnsi="仿宋" w:eastAsia="仿宋" w:cs="仿宋"/>
          <w:b/>
          <w:bCs/>
          <w:color w:val="000000"/>
          <w:spacing w:val="-10"/>
          <w:sz w:val="32"/>
          <w:szCs w:val="32"/>
        </w:rPr>
        <w:t>号</w:t>
      </w: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 w:hAnsi="仿宋" w:eastAsia="仿宋" w:cs="Arial"/>
          <w:b/>
          <w:sz w:val="32"/>
          <w:szCs w:val="32"/>
        </w:rPr>
      </w:pPr>
    </w:p>
    <w:p>
      <w:pPr>
        <w:spacing w:line="560" w:lineRule="exact"/>
        <w:jc w:val="center"/>
        <w:rPr>
          <w:rFonts w:ascii="仿宋_GB2312" w:hAnsi="宋体" w:cs="Arial"/>
          <w:b/>
          <w:sz w:val="32"/>
          <w:szCs w:val="32"/>
        </w:rPr>
      </w:pPr>
      <w:r>
        <w:rPr>
          <w:rFonts w:hint="eastAsia" w:ascii="仿宋_GB2312" w:hAnsi="宋体"/>
          <w:b/>
          <w:sz w:val="36"/>
          <w:szCs w:val="36"/>
        </w:rPr>
        <w:t>重庆通冠会计师事务所有限责任公司</w:t>
      </w:r>
    </w:p>
    <w:p>
      <w:pPr>
        <w:spacing w:line="560" w:lineRule="exact"/>
        <w:jc w:val="center"/>
        <w:rPr>
          <w:rFonts w:ascii="仿宋_GB2312" w:hAnsi="宋体"/>
          <w:b/>
          <w:sz w:val="32"/>
          <w:szCs w:val="32"/>
        </w:rPr>
      </w:pPr>
      <w:r>
        <w:rPr>
          <w:rFonts w:hint="eastAsia" w:ascii="仿宋_GB2312" w:hAnsi="宋体"/>
          <w:b/>
          <w:sz w:val="32"/>
          <w:szCs w:val="32"/>
        </w:rPr>
        <w:t>二○二〇年</w:t>
      </w:r>
      <w:r>
        <w:rPr>
          <w:rFonts w:hint="eastAsia" w:ascii="仿宋_GB2312" w:hAnsi="宋体"/>
          <w:b/>
          <w:sz w:val="32"/>
          <w:szCs w:val="32"/>
          <w:lang w:eastAsia="zh-CN"/>
        </w:rPr>
        <w:t>十二</w:t>
      </w:r>
      <w:r>
        <w:rPr>
          <w:rFonts w:hint="eastAsia" w:ascii="仿宋_GB2312" w:hAnsi="宋体"/>
          <w:b/>
          <w:sz w:val="32"/>
          <w:szCs w:val="32"/>
        </w:rPr>
        <w:t>月</w:t>
      </w:r>
    </w:p>
    <w:p>
      <w:pPr>
        <w:pageBreakBefore/>
        <w:spacing w:beforeLines="50" w:afterLines="50"/>
        <w:jc w:val="center"/>
        <w:rPr>
          <w:rFonts w:ascii="仿宋" w:hAnsi="仿宋" w:eastAsia="仿宋"/>
          <w:b/>
          <w:sz w:val="44"/>
          <w:szCs w:val="44"/>
        </w:rPr>
        <w:sectPr>
          <w:headerReference r:id="rId5" w:type="first"/>
          <w:headerReference r:id="rId3" w:type="default"/>
          <w:footerReference r:id="rId6" w:type="default"/>
          <w:headerReference r:id="rId4" w:type="even"/>
          <w:footerReference r:id="rId7" w:type="even"/>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pageBreakBefore/>
        <w:spacing w:beforeLines="50" w:afterLines="50"/>
        <w:jc w:val="center"/>
        <w:rPr>
          <w:rFonts w:ascii="仿宋" w:hAnsi="仿宋" w:eastAsia="仿宋"/>
          <w:sz w:val="44"/>
          <w:szCs w:val="44"/>
        </w:rPr>
      </w:pPr>
      <w:r>
        <w:rPr>
          <w:rFonts w:hint="eastAsia" w:ascii="仿宋" w:hAnsi="仿宋" w:eastAsia="仿宋"/>
          <w:b/>
          <w:sz w:val="44"/>
          <w:szCs w:val="44"/>
        </w:rPr>
        <w:t>目    录</w:t>
      </w:r>
    </w:p>
    <w:p>
      <w:pPr>
        <w:pStyle w:val="9"/>
        <w:tabs>
          <w:tab w:val="right" w:leader="dot" w:pos="8786"/>
          <w:tab w:val="clear" w:pos="8850"/>
        </w:tabs>
      </w:pPr>
      <w:r>
        <w:rPr>
          <w:rFonts w:hint="eastAsia" w:ascii="仿宋" w:eastAsia="仿宋"/>
          <w:color w:val="auto"/>
          <w:szCs w:val="30"/>
        </w:rPr>
        <w:fldChar w:fldCharType="begin"/>
      </w:r>
      <w:r>
        <w:rPr>
          <w:rFonts w:hint="eastAsia" w:ascii="仿宋" w:eastAsia="仿宋"/>
          <w:color w:val="auto"/>
          <w:szCs w:val="30"/>
        </w:rPr>
        <w:instrText xml:space="preserve"> TOC \o "1-2" \h \z \u </w:instrText>
      </w:r>
      <w:r>
        <w:rPr>
          <w:rFonts w:hint="eastAsia" w:ascii="仿宋" w:eastAsia="仿宋"/>
          <w:color w:val="auto"/>
          <w:szCs w:val="30"/>
        </w:rPr>
        <w:fldChar w:fldCharType="separate"/>
      </w:r>
      <w:r>
        <w:fldChar w:fldCharType="begin"/>
      </w:r>
      <w:r>
        <w:instrText xml:space="preserve"> HYPERLINK \l "_Toc11671" </w:instrText>
      </w:r>
      <w:r>
        <w:fldChar w:fldCharType="separate"/>
      </w:r>
      <w:r>
        <w:rPr>
          <w:rFonts w:hint="eastAsia" w:ascii="黑体" w:hAnsi="黑体" w:eastAsia="黑体" w:cs="黑体"/>
          <w:bCs/>
          <w:szCs w:val="32"/>
        </w:rPr>
        <w:t>一、 项目总体概况</w:t>
      </w:r>
      <w:r>
        <w:tab/>
      </w:r>
      <w:r>
        <w:fldChar w:fldCharType="begin"/>
      </w:r>
      <w:r>
        <w:instrText xml:space="preserve"> PAGEREF _Toc11671 </w:instrText>
      </w:r>
      <w:r>
        <w:fldChar w:fldCharType="separate"/>
      </w:r>
      <w:r>
        <w:t>1</w:t>
      </w:r>
      <w:r>
        <w:fldChar w:fldCharType="end"/>
      </w:r>
      <w:r>
        <w:fldChar w:fldCharType="end"/>
      </w:r>
    </w:p>
    <w:p>
      <w:pPr>
        <w:pStyle w:val="9"/>
        <w:tabs>
          <w:tab w:val="right" w:leader="dot" w:pos="8786"/>
          <w:tab w:val="clear" w:pos="8850"/>
        </w:tabs>
      </w:pPr>
      <w:r>
        <w:fldChar w:fldCharType="begin"/>
      </w:r>
      <w:r>
        <w:instrText xml:space="preserve"> HYPERLINK \l "_Toc20968" </w:instrText>
      </w:r>
      <w:r>
        <w:fldChar w:fldCharType="separate"/>
      </w:r>
      <w:r>
        <w:rPr>
          <w:rFonts w:hint="eastAsia" w:ascii="仿宋" w:eastAsia="仿宋" w:cs="仿宋"/>
          <w:bCs/>
          <w:szCs w:val="30"/>
        </w:rPr>
        <w:t>（</w:t>
      </w:r>
      <w:r>
        <w:rPr>
          <w:rFonts w:hint="eastAsia" w:ascii="仿宋" w:eastAsia="仿宋" w:cs="仿宋"/>
          <w:bCs/>
          <w:szCs w:val="32"/>
        </w:rPr>
        <w:t>一）项目基本情况</w:t>
      </w:r>
      <w:r>
        <w:tab/>
      </w:r>
      <w:r>
        <w:fldChar w:fldCharType="begin"/>
      </w:r>
      <w:r>
        <w:instrText xml:space="preserve"> PAGEREF _Toc20968 </w:instrText>
      </w:r>
      <w:r>
        <w:fldChar w:fldCharType="separate"/>
      </w:r>
      <w:r>
        <w:t>1</w:t>
      </w:r>
      <w:r>
        <w:fldChar w:fldCharType="end"/>
      </w:r>
      <w:r>
        <w:fldChar w:fldCharType="end"/>
      </w:r>
    </w:p>
    <w:p>
      <w:pPr>
        <w:pStyle w:val="9"/>
        <w:tabs>
          <w:tab w:val="right" w:leader="dot" w:pos="8786"/>
          <w:tab w:val="clear" w:pos="8850"/>
        </w:tabs>
      </w:pPr>
      <w:r>
        <w:fldChar w:fldCharType="begin"/>
      </w:r>
      <w:r>
        <w:instrText xml:space="preserve"> HYPERLINK \l "_Toc20025" </w:instrText>
      </w:r>
      <w:r>
        <w:fldChar w:fldCharType="separate"/>
      </w:r>
      <w:r>
        <w:rPr>
          <w:rFonts w:hint="eastAsia" w:ascii="仿宋" w:eastAsia="仿宋" w:cs="仿宋"/>
          <w:szCs w:val="30"/>
        </w:rPr>
        <w:t>（二）项目资金情况</w:t>
      </w:r>
      <w:r>
        <w:tab/>
      </w:r>
      <w:r>
        <w:fldChar w:fldCharType="begin"/>
      </w:r>
      <w:r>
        <w:instrText xml:space="preserve"> PAGEREF _Toc20025 </w:instrText>
      </w:r>
      <w:r>
        <w:fldChar w:fldCharType="separate"/>
      </w:r>
      <w:r>
        <w:t>2</w:t>
      </w:r>
      <w:r>
        <w:fldChar w:fldCharType="end"/>
      </w:r>
      <w:r>
        <w:fldChar w:fldCharType="end"/>
      </w:r>
    </w:p>
    <w:p>
      <w:pPr>
        <w:pStyle w:val="9"/>
        <w:tabs>
          <w:tab w:val="right" w:leader="dot" w:pos="8786"/>
          <w:tab w:val="clear" w:pos="8850"/>
        </w:tabs>
      </w:pPr>
      <w:r>
        <w:fldChar w:fldCharType="begin"/>
      </w:r>
      <w:r>
        <w:instrText xml:space="preserve"> HYPERLINK \l "_Toc29675" </w:instrText>
      </w:r>
      <w:r>
        <w:fldChar w:fldCharType="separate"/>
      </w:r>
      <w:r>
        <w:rPr>
          <w:rFonts w:hint="eastAsia" w:ascii="黑体" w:hAnsi="黑体" w:eastAsia="黑体" w:cs="黑体"/>
        </w:rPr>
        <w:t>二、绩效评价工作情况</w:t>
      </w:r>
      <w:r>
        <w:tab/>
      </w:r>
      <w:r>
        <w:fldChar w:fldCharType="begin"/>
      </w:r>
      <w:r>
        <w:instrText xml:space="preserve"> PAGEREF _Toc29675 </w:instrText>
      </w:r>
      <w:r>
        <w:fldChar w:fldCharType="separate"/>
      </w:r>
      <w:r>
        <w:t>2</w:t>
      </w:r>
      <w:r>
        <w:fldChar w:fldCharType="end"/>
      </w:r>
      <w:r>
        <w:fldChar w:fldCharType="end"/>
      </w:r>
    </w:p>
    <w:p>
      <w:pPr>
        <w:pStyle w:val="9"/>
        <w:tabs>
          <w:tab w:val="right" w:leader="dot" w:pos="8786"/>
          <w:tab w:val="clear" w:pos="8850"/>
        </w:tabs>
      </w:pPr>
      <w:r>
        <w:fldChar w:fldCharType="begin"/>
      </w:r>
      <w:r>
        <w:instrText xml:space="preserve"> HYPERLINK \l "_Toc28559" </w:instrText>
      </w:r>
      <w:r>
        <w:fldChar w:fldCharType="separate"/>
      </w:r>
      <w:r>
        <w:rPr>
          <w:rFonts w:hint="eastAsia" w:ascii="仿宋" w:eastAsia="仿宋"/>
          <w:szCs w:val="30"/>
        </w:rPr>
        <w:t>（一）绩效评价依据</w:t>
      </w:r>
      <w:r>
        <w:tab/>
      </w:r>
      <w:r>
        <w:fldChar w:fldCharType="begin"/>
      </w:r>
      <w:r>
        <w:instrText xml:space="preserve"> PAGEREF _Toc28559 </w:instrText>
      </w:r>
      <w:r>
        <w:fldChar w:fldCharType="separate"/>
      </w:r>
      <w:r>
        <w:t>2</w:t>
      </w:r>
      <w:r>
        <w:fldChar w:fldCharType="end"/>
      </w:r>
      <w:r>
        <w:fldChar w:fldCharType="end"/>
      </w:r>
    </w:p>
    <w:p>
      <w:pPr>
        <w:pStyle w:val="9"/>
        <w:tabs>
          <w:tab w:val="right" w:leader="dot" w:pos="8786"/>
          <w:tab w:val="clear" w:pos="8850"/>
        </w:tabs>
      </w:pPr>
      <w:r>
        <w:fldChar w:fldCharType="begin"/>
      </w:r>
      <w:r>
        <w:instrText xml:space="preserve"> HYPERLINK \l "_Toc16487" </w:instrText>
      </w:r>
      <w:r>
        <w:fldChar w:fldCharType="separate"/>
      </w:r>
      <w:r>
        <w:rPr>
          <w:rFonts w:hint="eastAsia" w:ascii="仿宋" w:eastAsia="仿宋"/>
          <w:szCs w:val="30"/>
        </w:rPr>
        <w:t>（二）评价主要目的、范围、内容</w:t>
      </w:r>
      <w:r>
        <w:tab/>
      </w:r>
      <w:r>
        <w:fldChar w:fldCharType="begin"/>
      </w:r>
      <w:r>
        <w:instrText xml:space="preserve"> PAGEREF _Toc16487 </w:instrText>
      </w:r>
      <w:r>
        <w:fldChar w:fldCharType="separate"/>
      </w:r>
      <w:r>
        <w:t>3</w:t>
      </w:r>
      <w:r>
        <w:fldChar w:fldCharType="end"/>
      </w:r>
      <w:r>
        <w:fldChar w:fldCharType="end"/>
      </w:r>
    </w:p>
    <w:p>
      <w:pPr>
        <w:pStyle w:val="9"/>
        <w:tabs>
          <w:tab w:val="right" w:leader="dot" w:pos="8786"/>
          <w:tab w:val="clear" w:pos="8850"/>
        </w:tabs>
      </w:pPr>
      <w:r>
        <w:fldChar w:fldCharType="begin"/>
      </w:r>
      <w:r>
        <w:instrText xml:space="preserve"> HYPERLINK \l "_Toc9415" </w:instrText>
      </w:r>
      <w:r>
        <w:fldChar w:fldCharType="separate"/>
      </w:r>
      <w:r>
        <w:rPr>
          <w:rFonts w:hint="eastAsia" w:ascii="仿宋" w:eastAsia="仿宋"/>
          <w:szCs w:val="30"/>
        </w:rPr>
        <w:t>（三）</w:t>
      </w:r>
      <w:r>
        <w:rPr>
          <w:rFonts w:hint="eastAsia" w:ascii="仿宋" w:eastAsia="仿宋" w:cs="仿宋"/>
          <w:szCs w:val="30"/>
        </w:rPr>
        <w:t>评价标准及评价方法</w:t>
      </w:r>
      <w:r>
        <w:tab/>
      </w:r>
      <w:r>
        <w:fldChar w:fldCharType="begin"/>
      </w:r>
      <w:r>
        <w:instrText xml:space="preserve"> PAGEREF _Toc9415 </w:instrText>
      </w:r>
      <w:r>
        <w:fldChar w:fldCharType="separate"/>
      </w:r>
      <w:r>
        <w:t>4</w:t>
      </w:r>
      <w:r>
        <w:fldChar w:fldCharType="end"/>
      </w:r>
      <w:r>
        <w:fldChar w:fldCharType="end"/>
      </w:r>
    </w:p>
    <w:p>
      <w:pPr>
        <w:pStyle w:val="9"/>
        <w:tabs>
          <w:tab w:val="right" w:leader="dot" w:pos="8786"/>
          <w:tab w:val="clear" w:pos="8850"/>
        </w:tabs>
      </w:pPr>
      <w:r>
        <w:fldChar w:fldCharType="begin"/>
      </w:r>
      <w:r>
        <w:instrText xml:space="preserve"> HYPERLINK \l "_Toc19553" </w:instrText>
      </w:r>
      <w:r>
        <w:fldChar w:fldCharType="separate"/>
      </w:r>
      <w:r>
        <w:rPr>
          <w:rFonts w:hint="eastAsia" w:ascii="仿宋" w:eastAsia="仿宋" w:cs="仿宋"/>
          <w:szCs w:val="30"/>
        </w:rPr>
        <w:t>（四）评价指标体系</w:t>
      </w:r>
      <w:r>
        <w:tab/>
      </w:r>
      <w:r>
        <w:fldChar w:fldCharType="begin"/>
      </w:r>
      <w:r>
        <w:instrText xml:space="preserve"> PAGEREF _Toc19553 </w:instrText>
      </w:r>
      <w:r>
        <w:fldChar w:fldCharType="separate"/>
      </w:r>
      <w:r>
        <w:t>4</w:t>
      </w:r>
      <w:r>
        <w:fldChar w:fldCharType="end"/>
      </w:r>
      <w:r>
        <w:fldChar w:fldCharType="end"/>
      </w:r>
    </w:p>
    <w:p>
      <w:pPr>
        <w:pStyle w:val="9"/>
        <w:tabs>
          <w:tab w:val="right" w:leader="dot" w:pos="8786"/>
          <w:tab w:val="clear" w:pos="8850"/>
        </w:tabs>
      </w:pPr>
      <w:r>
        <w:fldChar w:fldCharType="begin"/>
      </w:r>
      <w:r>
        <w:instrText xml:space="preserve"> HYPERLINK \l "_Toc2839" </w:instrText>
      </w:r>
      <w:r>
        <w:fldChar w:fldCharType="separate"/>
      </w:r>
      <w:r>
        <w:rPr>
          <w:rFonts w:hint="eastAsia" w:ascii="仿宋" w:eastAsia="仿宋" w:cs="仿宋"/>
          <w:kern w:val="0"/>
          <w:szCs w:val="30"/>
        </w:rPr>
        <w:t>（五）评价样本确定情况</w:t>
      </w:r>
      <w:r>
        <w:tab/>
      </w:r>
      <w:r>
        <w:fldChar w:fldCharType="begin"/>
      </w:r>
      <w:r>
        <w:instrText xml:space="preserve"> PAGEREF _Toc2839 </w:instrText>
      </w:r>
      <w:r>
        <w:fldChar w:fldCharType="separate"/>
      </w:r>
      <w:r>
        <w:t>5</w:t>
      </w:r>
      <w:r>
        <w:fldChar w:fldCharType="end"/>
      </w:r>
      <w:r>
        <w:fldChar w:fldCharType="end"/>
      </w:r>
    </w:p>
    <w:p>
      <w:pPr>
        <w:pStyle w:val="9"/>
        <w:tabs>
          <w:tab w:val="right" w:leader="dot" w:pos="8786"/>
          <w:tab w:val="clear" w:pos="8850"/>
        </w:tabs>
      </w:pPr>
      <w:r>
        <w:fldChar w:fldCharType="begin"/>
      </w:r>
      <w:r>
        <w:instrText xml:space="preserve"> HYPERLINK \l "_Toc21336" </w:instrText>
      </w:r>
      <w:r>
        <w:fldChar w:fldCharType="separate"/>
      </w:r>
      <w:r>
        <w:rPr>
          <w:rFonts w:hint="eastAsia" w:ascii="仿宋" w:eastAsia="仿宋" w:cs="仿宋"/>
          <w:bCs/>
          <w:szCs w:val="30"/>
        </w:rPr>
        <w:t>（六）绩效评价工作过程</w:t>
      </w:r>
      <w:r>
        <w:tab/>
      </w:r>
      <w:r>
        <w:fldChar w:fldCharType="begin"/>
      </w:r>
      <w:r>
        <w:instrText xml:space="preserve"> PAGEREF _Toc21336 </w:instrText>
      </w:r>
      <w:r>
        <w:fldChar w:fldCharType="separate"/>
      </w:r>
      <w:r>
        <w:t>5</w:t>
      </w:r>
      <w:r>
        <w:fldChar w:fldCharType="end"/>
      </w:r>
      <w:r>
        <w:fldChar w:fldCharType="end"/>
      </w:r>
    </w:p>
    <w:p>
      <w:pPr>
        <w:pStyle w:val="9"/>
        <w:tabs>
          <w:tab w:val="right" w:leader="dot" w:pos="8786"/>
          <w:tab w:val="clear" w:pos="8850"/>
        </w:tabs>
      </w:pPr>
      <w:r>
        <w:fldChar w:fldCharType="begin"/>
      </w:r>
      <w:r>
        <w:instrText xml:space="preserve"> HYPERLINK \l "_Toc16028" </w:instrText>
      </w:r>
      <w:r>
        <w:fldChar w:fldCharType="separate"/>
      </w:r>
      <w:r>
        <w:rPr>
          <w:rFonts w:hint="eastAsia" w:ascii="黑体" w:hAnsi="黑体" w:eastAsia="黑体" w:cs="黑体"/>
        </w:rPr>
        <w:t>三、绩效评价指标分析情况</w:t>
      </w:r>
      <w:r>
        <w:tab/>
      </w:r>
      <w:r>
        <w:fldChar w:fldCharType="begin"/>
      </w:r>
      <w:r>
        <w:instrText xml:space="preserve"> PAGEREF _Toc16028 </w:instrText>
      </w:r>
      <w:r>
        <w:fldChar w:fldCharType="separate"/>
      </w:r>
      <w:r>
        <w:t>5</w:t>
      </w:r>
      <w:r>
        <w:fldChar w:fldCharType="end"/>
      </w:r>
      <w:r>
        <w:fldChar w:fldCharType="end"/>
      </w:r>
    </w:p>
    <w:p>
      <w:pPr>
        <w:pStyle w:val="9"/>
        <w:tabs>
          <w:tab w:val="right" w:leader="dot" w:pos="8786"/>
          <w:tab w:val="clear" w:pos="8850"/>
        </w:tabs>
      </w:pPr>
      <w:r>
        <w:fldChar w:fldCharType="begin"/>
      </w:r>
      <w:r>
        <w:instrText xml:space="preserve"> HYPERLINK \l "_Toc32038" </w:instrText>
      </w:r>
      <w:r>
        <w:fldChar w:fldCharType="separate"/>
      </w:r>
      <w:r>
        <w:rPr>
          <w:rFonts w:hint="eastAsia" w:ascii="仿宋" w:eastAsia="仿宋"/>
          <w:szCs w:val="30"/>
        </w:rPr>
        <w:t>（一）项目指标情况分析</w:t>
      </w:r>
      <w:r>
        <w:tab/>
      </w:r>
      <w:r>
        <w:fldChar w:fldCharType="begin"/>
      </w:r>
      <w:r>
        <w:instrText xml:space="preserve"> PAGEREF _Toc32038 </w:instrText>
      </w:r>
      <w:r>
        <w:fldChar w:fldCharType="separate"/>
      </w:r>
      <w:r>
        <w:t>6</w:t>
      </w:r>
      <w:r>
        <w:fldChar w:fldCharType="end"/>
      </w:r>
      <w:r>
        <w:fldChar w:fldCharType="end"/>
      </w:r>
    </w:p>
    <w:p>
      <w:pPr>
        <w:pStyle w:val="9"/>
        <w:tabs>
          <w:tab w:val="right" w:leader="dot" w:pos="8786"/>
          <w:tab w:val="clear" w:pos="8850"/>
        </w:tabs>
      </w:pPr>
      <w:r>
        <w:fldChar w:fldCharType="begin"/>
      </w:r>
      <w:r>
        <w:instrText xml:space="preserve"> HYPERLINK \l "_Toc6964" </w:instrText>
      </w:r>
      <w:r>
        <w:fldChar w:fldCharType="separate"/>
      </w:r>
      <w:r>
        <w:rPr>
          <w:rFonts w:hint="eastAsia" w:ascii="仿宋" w:eastAsia="仿宋"/>
          <w:szCs w:val="30"/>
        </w:rPr>
        <w:t>（二）项目资金情况分析</w:t>
      </w:r>
      <w:r>
        <w:tab/>
      </w:r>
      <w:r>
        <w:fldChar w:fldCharType="begin"/>
      </w:r>
      <w:r>
        <w:instrText xml:space="preserve"> PAGEREF _Toc6964 </w:instrText>
      </w:r>
      <w:r>
        <w:fldChar w:fldCharType="separate"/>
      </w:r>
      <w:r>
        <w:t>6</w:t>
      </w:r>
      <w:r>
        <w:fldChar w:fldCharType="end"/>
      </w:r>
      <w:r>
        <w:fldChar w:fldCharType="end"/>
      </w:r>
    </w:p>
    <w:p>
      <w:pPr>
        <w:pStyle w:val="9"/>
        <w:tabs>
          <w:tab w:val="right" w:leader="dot" w:pos="8786"/>
          <w:tab w:val="clear" w:pos="8850"/>
        </w:tabs>
      </w:pPr>
      <w:r>
        <w:fldChar w:fldCharType="begin"/>
      </w:r>
      <w:r>
        <w:instrText xml:space="preserve"> HYPERLINK \l "_Toc25591" </w:instrText>
      </w:r>
      <w:r>
        <w:fldChar w:fldCharType="separate"/>
      </w:r>
      <w:r>
        <w:rPr>
          <w:rFonts w:hint="eastAsia" w:ascii="仿宋" w:eastAsia="仿宋"/>
          <w:szCs w:val="30"/>
        </w:rPr>
        <w:t>（三）项目实施情况分析</w:t>
      </w:r>
      <w:r>
        <w:tab/>
      </w:r>
      <w:r>
        <w:fldChar w:fldCharType="begin"/>
      </w:r>
      <w:r>
        <w:instrText xml:space="preserve"> PAGEREF _Toc25591 </w:instrText>
      </w:r>
      <w:r>
        <w:fldChar w:fldCharType="separate"/>
      </w:r>
      <w:r>
        <w:t>7</w:t>
      </w:r>
      <w:r>
        <w:fldChar w:fldCharType="end"/>
      </w:r>
      <w:r>
        <w:fldChar w:fldCharType="end"/>
      </w:r>
    </w:p>
    <w:p>
      <w:pPr>
        <w:pStyle w:val="9"/>
        <w:tabs>
          <w:tab w:val="right" w:leader="dot" w:pos="8786"/>
          <w:tab w:val="clear" w:pos="8850"/>
        </w:tabs>
      </w:pPr>
      <w:r>
        <w:fldChar w:fldCharType="begin"/>
      </w:r>
      <w:r>
        <w:instrText xml:space="preserve"> HYPERLINK \l "_Toc20756" </w:instrText>
      </w:r>
      <w:r>
        <w:fldChar w:fldCharType="separate"/>
      </w:r>
      <w:r>
        <w:rPr>
          <w:rFonts w:hint="eastAsia" w:ascii="仿宋" w:eastAsia="仿宋"/>
          <w:szCs w:val="30"/>
        </w:rPr>
        <w:t>（</w:t>
      </w:r>
      <w:r>
        <w:rPr>
          <w:rFonts w:hint="eastAsia" w:ascii="仿宋" w:eastAsia="仿宋"/>
          <w:szCs w:val="30"/>
          <w:lang w:eastAsia="zh-CN"/>
        </w:rPr>
        <w:t>四</w:t>
      </w:r>
      <w:r>
        <w:rPr>
          <w:rFonts w:hint="eastAsia" w:ascii="仿宋" w:eastAsia="仿宋"/>
          <w:szCs w:val="30"/>
        </w:rPr>
        <w:t>）项目绩效情况分析</w:t>
      </w:r>
      <w:r>
        <w:tab/>
      </w:r>
      <w:r>
        <w:fldChar w:fldCharType="begin"/>
      </w:r>
      <w:r>
        <w:instrText xml:space="preserve"> PAGEREF _Toc20756 </w:instrText>
      </w:r>
      <w:r>
        <w:fldChar w:fldCharType="separate"/>
      </w:r>
      <w:r>
        <w:t>10</w:t>
      </w:r>
      <w:r>
        <w:fldChar w:fldCharType="end"/>
      </w:r>
      <w:r>
        <w:fldChar w:fldCharType="end"/>
      </w:r>
    </w:p>
    <w:p>
      <w:pPr>
        <w:pStyle w:val="9"/>
        <w:tabs>
          <w:tab w:val="right" w:leader="dot" w:pos="8786"/>
          <w:tab w:val="clear" w:pos="8850"/>
        </w:tabs>
      </w:pPr>
      <w:r>
        <w:fldChar w:fldCharType="begin"/>
      </w:r>
      <w:r>
        <w:instrText xml:space="preserve"> HYPERLINK \l "_Toc25344" </w:instrText>
      </w:r>
      <w:r>
        <w:fldChar w:fldCharType="separate"/>
      </w:r>
      <w:r>
        <w:rPr>
          <w:rFonts w:hint="eastAsia" w:ascii="黑体" w:hAnsi="黑体" w:eastAsia="黑体" w:cs="黑体"/>
        </w:rPr>
        <w:t>四、项目绩效管理情况</w:t>
      </w:r>
      <w:r>
        <w:tab/>
      </w:r>
      <w:r>
        <w:fldChar w:fldCharType="begin"/>
      </w:r>
      <w:r>
        <w:instrText xml:space="preserve"> PAGEREF _Toc25344 </w:instrText>
      </w:r>
      <w:r>
        <w:fldChar w:fldCharType="separate"/>
      </w:r>
      <w:r>
        <w:t>12</w:t>
      </w:r>
      <w:r>
        <w:fldChar w:fldCharType="end"/>
      </w:r>
      <w:r>
        <w:fldChar w:fldCharType="end"/>
      </w:r>
    </w:p>
    <w:p>
      <w:pPr>
        <w:pStyle w:val="9"/>
        <w:tabs>
          <w:tab w:val="right" w:leader="dot" w:pos="8786"/>
          <w:tab w:val="clear" w:pos="8850"/>
        </w:tabs>
      </w:pPr>
      <w:r>
        <w:fldChar w:fldCharType="begin"/>
      </w:r>
      <w:r>
        <w:instrText xml:space="preserve"> HYPERLINK \l "_Toc21289" </w:instrText>
      </w:r>
      <w:r>
        <w:fldChar w:fldCharType="separate"/>
      </w:r>
      <w:r>
        <w:rPr>
          <w:rFonts w:hint="eastAsia" w:ascii="黑体" w:hAnsi="黑体" w:eastAsia="黑体" w:cs="黑体"/>
        </w:rPr>
        <w:t>五、评价结论</w:t>
      </w:r>
      <w:r>
        <w:tab/>
      </w:r>
      <w:r>
        <w:fldChar w:fldCharType="begin"/>
      </w:r>
      <w:r>
        <w:instrText xml:space="preserve"> PAGEREF _Toc21289 </w:instrText>
      </w:r>
      <w:r>
        <w:fldChar w:fldCharType="separate"/>
      </w:r>
      <w:r>
        <w:t>12</w:t>
      </w:r>
      <w:r>
        <w:fldChar w:fldCharType="end"/>
      </w:r>
      <w:r>
        <w:fldChar w:fldCharType="end"/>
      </w:r>
    </w:p>
    <w:p>
      <w:pPr>
        <w:pStyle w:val="9"/>
        <w:tabs>
          <w:tab w:val="right" w:leader="dot" w:pos="8786"/>
          <w:tab w:val="clear" w:pos="8850"/>
        </w:tabs>
      </w:pPr>
      <w:r>
        <w:fldChar w:fldCharType="begin"/>
      </w:r>
      <w:r>
        <w:instrText xml:space="preserve"> HYPERLINK \l "_Toc15316" </w:instrText>
      </w:r>
      <w:r>
        <w:fldChar w:fldCharType="separate"/>
      </w:r>
      <w:r>
        <w:rPr>
          <w:rFonts w:hint="eastAsia" w:ascii="黑体" w:hAnsi="黑体" w:eastAsia="黑体" w:cs="黑体"/>
        </w:rPr>
        <w:t>六、值得关注的问题</w:t>
      </w:r>
      <w:r>
        <w:tab/>
      </w:r>
      <w:r>
        <w:fldChar w:fldCharType="begin"/>
      </w:r>
      <w:r>
        <w:instrText xml:space="preserve"> PAGEREF _Toc15316 </w:instrText>
      </w:r>
      <w:r>
        <w:fldChar w:fldCharType="separate"/>
      </w:r>
      <w:r>
        <w:t>13</w:t>
      </w:r>
      <w:r>
        <w:fldChar w:fldCharType="end"/>
      </w:r>
      <w:r>
        <w:fldChar w:fldCharType="end"/>
      </w:r>
    </w:p>
    <w:p>
      <w:pPr>
        <w:pStyle w:val="9"/>
        <w:tabs>
          <w:tab w:val="right" w:leader="dot" w:pos="8786"/>
          <w:tab w:val="clear" w:pos="8850"/>
        </w:tabs>
      </w:pPr>
      <w:r>
        <w:fldChar w:fldCharType="begin"/>
      </w:r>
      <w:r>
        <w:instrText xml:space="preserve"> HYPERLINK \l "_Toc5521" </w:instrText>
      </w:r>
      <w:r>
        <w:fldChar w:fldCharType="separate"/>
      </w:r>
      <w:r>
        <w:rPr>
          <w:rFonts w:hint="eastAsia" w:ascii="黑体" w:hAnsi="黑体" w:eastAsia="黑体" w:cs="黑体"/>
        </w:rPr>
        <w:t>七、主要建议</w:t>
      </w:r>
      <w:r>
        <w:tab/>
      </w:r>
      <w:r>
        <w:fldChar w:fldCharType="begin"/>
      </w:r>
      <w:r>
        <w:instrText xml:space="preserve"> PAGEREF _Toc5521 </w:instrText>
      </w:r>
      <w:r>
        <w:fldChar w:fldCharType="separate"/>
      </w:r>
      <w:r>
        <w:t>15</w:t>
      </w:r>
      <w:r>
        <w:fldChar w:fldCharType="end"/>
      </w:r>
      <w:r>
        <w:fldChar w:fldCharType="end"/>
      </w:r>
    </w:p>
    <w:p>
      <w:pPr>
        <w:spacing w:line="360" w:lineRule="auto"/>
        <w:rPr>
          <w:rFonts w:ascii="仿宋" w:hAnsi="仿宋" w:eastAsia="仿宋"/>
        </w:rPr>
      </w:pPr>
      <w:r>
        <w:rPr>
          <w:rFonts w:hint="eastAsia" w:ascii="仿宋" w:hAnsi="仿宋" w:eastAsia="仿宋"/>
        </w:rPr>
        <w:fldChar w:fldCharType="end"/>
      </w:r>
      <w:bookmarkStart w:id="1" w:name="_Toc447578737"/>
    </w:p>
    <w:bookmarkEnd w:id="1"/>
    <w:p>
      <w:pPr>
        <w:jc w:val="center"/>
      </w:pPr>
    </w:p>
    <w:p>
      <w:pPr>
        <w:spacing w:line="360" w:lineRule="auto"/>
        <w:jc w:val="center"/>
        <w:rPr>
          <w:rFonts w:ascii="仿宋" w:hAnsi="仿宋" w:eastAsia="仿宋" w:cs="仿宋"/>
          <w:sz w:val="36"/>
          <w:szCs w:val="36"/>
        </w:rPr>
        <w:sectPr>
          <w:footerReference r:id="rId9" w:type="first"/>
          <w:footerReference r:id="rId8" w:type="default"/>
          <w:footnotePr>
            <w:numFmt w:val="decimalEnclosedCircleChinese"/>
          </w:footnotePr>
          <w:pgSz w:w="11906" w:h="16838"/>
          <w:pgMar w:top="1418" w:right="1418" w:bottom="1417" w:left="1418" w:header="1021" w:footer="1021" w:gutter="284"/>
          <w:pgNumType w:start="0"/>
          <w:cols w:space="720" w:num="1"/>
          <w:titlePg/>
          <w:docGrid w:linePitch="312" w:charSpace="0"/>
        </w:sectPr>
      </w:pPr>
    </w:p>
    <w:p>
      <w:pPr>
        <w:spacing w:afterLines="50"/>
        <w:jc w:val="center"/>
        <w:rPr>
          <w:rFonts w:ascii="仿宋" w:hAnsi="仿宋" w:eastAsia="仿宋" w:cs="仿宋"/>
          <w:b/>
          <w:bCs/>
          <w:spacing w:val="-20"/>
          <w:sz w:val="40"/>
          <w:szCs w:val="48"/>
        </w:rPr>
      </w:pPr>
      <w:r>
        <w:rPr>
          <w:rFonts w:hint="eastAsia" w:ascii="仿宋" w:hAnsi="仿宋" w:eastAsia="仿宋" w:cs="仿宋"/>
          <w:b/>
          <w:bCs/>
          <w:spacing w:val="-20"/>
          <w:sz w:val="36"/>
          <w:szCs w:val="36"/>
        </w:rPr>
        <w:t>巫溪县2019年城市低保项目</w:t>
      </w:r>
    </w:p>
    <w:p>
      <w:pPr>
        <w:jc w:val="center"/>
        <w:rPr>
          <w:rFonts w:ascii="仿宋" w:hAnsi="仿宋" w:eastAsia="仿宋" w:cs="仿宋"/>
          <w:b/>
          <w:spacing w:val="-10"/>
          <w:sz w:val="44"/>
          <w:szCs w:val="44"/>
        </w:rPr>
      </w:pPr>
      <w:r>
        <w:rPr>
          <w:rFonts w:hint="eastAsia" w:ascii="仿宋" w:hAnsi="仿宋" w:eastAsia="仿宋" w:cs="仿宋"/>
          <w:b/>
          <w:spacing w:val="-10"/>
          <w:sz w:val="48"/>
          <w:szCs w:val="48"/>
        </w:rPr>
        <w:t>绩效评价报告</w:t>
      </w:r>
    </w:p>
    <w:p>
      <w:pPr>
        <w:spacing w:beforeLines="50" w:afterLines="50"/>
        <w:jc w:val="center"/>
        <w:outlineLvl w:val="0"/>
        <w:rPr>
          <w:rFonts w:ascii="仿宋" w:hAnsi="仿宋" w:eastAsia="仿宋" w:cs="宋体"/>
          <w:b/>
          <w:sz w:val="44"/>
          <w:szCs w:val="44"/>
        </w:rPr>
      </w:pPr>
      <w:bookmarkStart w:id="2" w:name="_Toc8082_WPSOffice_Level1"/>
      <w:bookmarkStart w:id="3" w:name="_Toc13040_WPSOffice_Level2"/>
      <w:bookmarkStart w:id="4" w:name="_Toc2838"/>
      <w:bookmarkStart w:id="5" w:name="_Toc12020_WPSOffice_Level2"/>
      <w:bookmarkStart w:id="6" w:name="_Toc12859"/>
      <w:bookmarkStart w:id="7" w:name="_Toc2200"/>
      <w:r>
        <w:rPr>
          <w:rFonts w:hint="eastAsia" w:ascii="仿宋" w:hAnsi="仿宋" w:eastAsia="仿宋"/>
          <w:b/>
          <w:sz w:val="28"/>
          <w:szCs w:val="28"/>
        </w:rPr>
        <w:t>重通会所咨</w:t>
      </w:r>
      <w:r>
        <w:rPr>
          <w:rFonts w:hint="eastAsia" w:ascii="仿宋" w:hAnsi="仿宋" w:eastAsia="仿宋"/>
          <w:b/>
          <w:sz w:val="28"/>
          <w:szCs w:val="28"/>
          <w:lang w:eastAsia="zh-CN"/>
        </w:rPr>
        <w:t>〔2020〕</w:t>
      </w:r>
      <w:r>
        <w:rPr>
          <w:rFonts w:hint="eastAsia" w:ascii="仿宋" w:hAnsi="仿宋" w:eastAsia="仿宋"/>
          <w:b/>
          <w:sz w:val="28"/>
          <w:szCs w:val="28"/>
        </w:rPr>
        <w:t xml:space="preserve"> </w:t>
      </w:r>
      <w:r>
        <w:rPr>
          <w:rFonts w:hint="eastAsia" w:ascii="仿宋" w:hAnsi="仿宋" w:eastAsia="仿宋"/>
          <w:b/>
          <w:sz w:val="28"/>
          <w:szCs w:val="28"/>
          <w:lang w:val="en-US" w:eastAsia="zh-CN"/>
        </w:rPr>
        <w:t>066</w:t>
      </w:r>
      <w:r>
        <w:rPr>
          <w:rFonts w:hint="eastAsia" w:ascii="仿宋" w:hAnsi="仿宋" w:eastAsia="仿宋"/>
          <w:b/>
          <w:sz w:val="28"/>
          <w:szCs w:val="28"/>
        </w:rPr>
        <w:t>号</w:t>
      </w:r>
      <w:bookmarkEnd w:id="2"/>
      <w:bookmarkEnd w:id="3"/>
      <w:bookmarkEnd w:id="4"/>
      <w:bookmarkEnd w:id="5"/>
      <w:bookmarkEnd w:id="6"/>
      <w:bookmarkEnd w:id="7"/>
    </w:p>
    <w:p>
      <w:pPr>
        <w:widowControl/>
        <w:spacing w:line="600" w:lineRule="exact"/>
        <w:ind w:firstLine="621" w:firstLineChars="207"/>
        <w:rPr>
          <w:rFonts w:ascii="仿宋" w:hAnsi="仿宋" w:eastAsia="仿宋" w:cs="仿宋"/>
          <w:szCs w:val="30"/>
        </w:rPr>
      </w:pPr>
      <w:bookmarkStart w:id="8" w:name="_Toc313640953"/>
      <w:r>
        <w:rPr>
          <w:rFonts w:hint="eastAsia" w:ascii="仿宋" w:hAnsi="仿宋" w:eastAsia="仿宋" w:cs="仿宋"/>
          <w:szCs w:val="30"/>
        </w:rPr>
        <w:t>为加强财政资金管理，提高资金使用效益，根据《中共中央国务院关于全面实施预算绩效管理的意见》（中发〔2018〕34号）、《中共巫溪县委巫溪县人民政府关于全面实施预算绩效管理的实施意见》（巫溪委发〔2019〕27号）精神，重庆市巫溪县财政局（以下简称“县财政局”）为保障2019年重点项目和部门整体支出绩效评价工作的顺利开展，委托重庆通冠会计师事务所组织成立了绩效评价工作组，对巫溪县2019年城市低保项目（以下简称“城市低保项目”）进行了绩效评价，现将评价情况报告如下：</w:t>
      </w:r>
    </w:p>
    <w:bookmarkEnd w:id="8"/>
    <w:p>
      <w:pPr>
        <w:numPr>
          <w:ilvl w:val="0"/>
          <w:numId w:val="1"/>
        </w:numPr>
        <w:spacing w:beforeLines="50" w:afterLines="50" w:line="600" w:lineRule="exact"/>
        <w:ind w:firstLine="643" w:firstLineChars="200"/>
        <w:outlineLvl w:val="0"/>
        <w:rPr>
          <w:rFonts w:ascii="黑体" w:hAnsi="黑体" w:eastAsia="黑体" w:cs="黑体"/>
          <w:b/>
          <w:bCs/>
          <w:sz w:val="32"/>
          <w:szCs w:val="32"/>
        </w:rPr>
      </w:pPr>
      <w:bookmarkStart w:id="9" w:name="_Toc4347"/>
      <w:bookmarkStart w:id="10" w:name="_Toc11671"/>
      <w:r>
        <w:rPr>
          <w:rFonts w:hint="eastAsia" w:ascii="黑体" w:hAnsi="黑体" w:eastAsia="黑体" w:cs="黑体"/>
          <w:b/>
          <w:bCs/>
          <w:sz w:val="32"/>
          <w:szCs w:val="32"/>
        </w:rPr>
        <w:t>项目总体概况</w:t>
      </w:r>
      <w:bookmarkEnd w:id="9"/>
      <w:bookmarkEnd w:id="10"/>
      <w:bookmarkStart w:id="11" w:name="_Toc30767"/>
    </w:p>
    <w:p>
      <w:pPr>
        <w:spacing w:beforeLines="50" w:afterLines="50" w:line="600" w:lineRule="exact"/>
        <w:ind w:firstLine="602" w:firstLineChars="200"/>
        <w:outlineLvl w:val="0"/>
        <w:rPr>
          <w:rFonts w:ascii="仿宋" w:hAnsi="仿宋" w:eastAsia="仿宋" w:cs="仿宋"/>
          <w:b/>
          <w:bCs/>
          <w:szCs w:val="32"/>
        </w:rPr>
      </w:pPr>
      <w:bookmarkStart w:id="12" w:name="_Toc20968"/>
      <w:bookmarkStart w:id="13" w:name="_Toc9636"/>
      <w:r>
        <w:rPr>
          <w:rFonts w:hint="eastAsia" w:ascii="仿宋" w:hAnsi="仿宋" w:eastAsia="仿宋" w:cs="仿宋"/>
          <w:b/>
          <w:bCs/>
          <w:szCs w:val="30"/>
        </w:rPr>
        <w:t>（</w:t>
      </w:r>
      <w:r>
        <w:rPr>
          <w:rFonts w:hint="eastAsia" w:ascii="仿宋" w:hAnsi="仿宋" w:eastAsia="仿宋" w:cs="仿宋"/>
          <w:b/>
          <w:bCs/>
          <w:szCs w:val="32"/>
        </w:rPr>
        <w:t>一）项目基本情况</w:t>
      </w:r>
      <w:bookmarkEnd w:id="11"/>
      <w:bookmarkEnd w:id="12"/>
      <w:bookmarkEnd w:id="13"/>
      <w:bookmarkStart w:id="14" w:name="_Toc15107"/>
    </w:p>
    <w:p>
      <w:pPr>
        <w:spacing w:line="600" w:lineRule="exact"/>
        <w:ind w:firstLine="621" w:firstLineChars="207"/>
        <w:rPr>
          <w:rFonts w:ascii="仿宋" w:hAnsi="仿宋" w:eastAsia="仿宋" w:cs="仿宋"/>
          <w:szCs w:val="30"/>
        </w:rPr>
      </w:pPr>
      <w:bookmarkStart w:id="15" w:name="_Toc25693"/>
      <w:r>
        <w:rPr>
          <w:rFonts w:hint="eastAsia" w:ascii="仿宋" w:hAnsi="仿宋" w:eastAsia="仿宋" w:cs="仿宋"/>
          <w:szCs w:val="30"/>
        </w:rPr>
        <w:t>城市最低生活保障金是用于保障城市低保对象基本生活的专项资金，发放目的是为他们提供最基本的生活保障，以缓解其因病因残</w:t>
      </w:r>
      <w:r>
        <w:rPr>
          <w:rFonts w:hint="eastAsia" w:ascii="仿宋" w:hAnsi="仿宋" w:eastAsia="仿宋" w:cs="仿宋"/>
          <w:color w:val="FF0000"/>
          <w:szCs w:val="30"/>
        </w:rPr>
        <w:t>等原因</w:t>
      </w:r>
      <w:r>
        <w:rPr>
          <w:rFonts w:hint="eastAsia" w:ascii="仿宋" w:hAnsi="仿宋" w:eastAsia="仿宋" w:cs="仿宋"/>
          <w:szCs w:val="30"/>
        </w:rPr>
        <w:t>无法维持基本生活的压力，防止其因残返困、因病致贫，增强其自我保障和生存能力，有利于维护社会的公</w:t>
      </w:r>
      <w:r>
        <w:rPr>
          <w:rFonts w:hint="eastAsia" w:ascii="仿宋" w:hAnsi="仿宋" w:eastAsia="仿宋" w:cs="仿宋"/>
          <w:color w:val="FF0000"/>
          <w:szCs w:val="30"/>
        </w:rPr>
        <w:t>平</w:t>
      </w:r>
      <w:r>
        <w:rPr>
          <w:rFonts w:hint="eastAsia" w:ascii="仿宋" w:hAnsi="仿宋" w:eastAsia="仿宋" w:cs="仿宋"/>
          <w:szCs w:val="30"/>
        </w:rPr>
        <w:t>和稳定，有利于更好地保障公民的基本权利。城市低保项目由巫溪县民政局（以下简称“县民政局”）牵头组织，各乡镇配合实施。具体工作包括：对各乡镇上报的低保申请进行审核；人员日常动态管理；补助资金的发放及资料的收集等。</w:t>
      </w:r>
    </w:p>
    <w:p>
      <w:pPr>
        <w:pStyle w:val="25"/>
        <w:spacing w:before="120" w:after="120" w:line="600" w:lineRule="exact"/>
        <w:ind w:firstLine="602" w:firstLineChars="200"/>
        <w:jc w:val="both"/>
        <w:rPr>
          <w:rFonts w:ascii="仿宋" w:hAnsi="仿宋" w:eastAsia="仿宋" w:cs="仿宋"/>
          <w:sz w:val="30"/>
          <w:szCs w:val="30"/>
          <w:highlight w:val="yellow"/>
        </w:rPr>
      </w:pPr>
      <w:bookmarkStart w:id="16" w:name="_Toc20025"/>
      <w:r>
        <w:rPr>
          <w:rFonts w:hint="eastAsia" w:ascii="仿宋" w:hAnsi="仿宋" w:eastAsia="仿宋" w:cs="仿宋"/>
          <w:kern w:val="2"/>
          <w:sz w:val="30"/>
          <w:szCs w:val="30"/>
        </w:rPr>
        <w:t>（</w:t>
      </w:r>
      <w:r>
        <w:rPr>
          <w:rFonts w:hint="eastAsia" w:ascii="仿宋" w:hAnsi="仿宋" w:eastAsia="仿宋" w:cs="仿宋"/>
          <w:sz w:val="30"/>
          <w:szCs w:val="30"/>
        </w:rPr>
        <w:t>二）项目资金情况</w:t>
      </w:r>
      <w:bookmarkEnd w:id="14"/>
      <w:bookmarkEnd w:id="15"/>
      <w:bookmarkEnd w:id="16"/>
    </w:p>
    <w:p>
      <w:pPr>
        <w:spacing w:line="600" w:lineRule="exact"/>
        <w:ind w:firstLine="600" w:firstLineChars="200"/>
      </w:pPr>
      <w:r>
        <w:rPr>
          <w:rFonts w:hint="eastAsia" w:ascii="仿宋" w:hAnsi="仿宋" w:eastAsia="仿宋" w:cs="仿宋"/>
          <w:szCs w:val="30"/>
        </w:rPr>
        <w:t>根据《重庆市财政局关于提前下达2019年困难群众基本生活救助中央和市级补助资金预算指标的通知》（渝财社〔2018〕323号）文件，2019年重庆市财政局打捆下达巫溪县2019年困难群众基本生活救助中央和市级补助资金预算指标9,895.00万元（其中：中央资金5,377.00万元，市级资金4,518.00万元），用于城乡低保、城乡特困、临时救助、孤残儿童供养</w:t>
      </w:r>
      <w:r>
        <w:rPr>
          <w:rFonts w:hint="eastAsia" w:ascii="方正仿宋_GBK" w:hAnsi="仿宋" w:eastAsia="方正仿宋_GBK" w:cs="仿宋"/>
          <w:szCs w:val="30"/>
        </w:rPr>
        <w:t>及流浪乞讨人员</w:t>
      </w:r>
      <w:r>
        <w:rPr>
          <w:rFonts w:hint="eastAsia" w:ascii="方正仿宋_GBK" w:eastAsia="方正仿宋_GBK"/>
          <w:szCs w:val="30"/>
        </w:rPr>
        <w:t>救助</w:t>
      </w:r>
      <w:r>
        <w:rPr>
          <w:rFonts w:hint="eastAsia" w:ascii="方正仿宋_GBK" w:hAnsi="仿宋" w:eastAsia="方正仿宋_GBK" w:cs="仿宋"/>
          <w:szCs w:val="30"/>
        </w:rPr>
        <w:t>。</w:t>
      </w:r>
      <w:r>
        <w:rPr>
          <w:rFonts w:hint="eastAsia" w:ascii="仿宋" w:hAnsi="仿宋" w:eastAsia="仿宋" w:cs="仿宋"/>
          <w:szCs w:val="30"/>
        </w:rPr>
        <w:t>根据县民政局提供的2019年城市低保资金拨付明细及相关资料，截至2019年年底，城市低保项目共计支出1,430.3632万元，共补助34254人次。详细情况见下表：</w:t>
      </w:r>
    </w:p>
    <w:p>
      <w:pPr>
        <w:adjustRightInd w:val="0"/>
        <w:snapToGrid w:val="0"/>
        <w:spacing w:beforeLines="50" w:afterLines="50"/>
        <w:ind w:firstLine="602" w:firstLineChars="200"/>
        <w:jc w:val="center"/>
        <w:rPr>
          <w:rFonts w:ascii="仿宋" w:hAnsi="仿宋" w:eastAsia="仿宋"/>
          <w:szCs w:val="30"/>
        </w:rPr>
      </w:pPr>
      <w:r>
        <w:rPr>
          <w:rFonts w:hint="eastAsia" w:ascii="仿宋" w:hAnsi="仿宋" w:eastAsia="仿宋"/>
          <w:b/>
          <w:bCs/>
          <w:szCs w:val="30"/>
        </w:rPr>
        <w:t>城市低保项目资金发放明细表</w:t>
      </w:r>
    </w:p>
    <w:tbl>
      <w:tblPr>
        <w:tblStyle w:val="12"/>
        <w:tblW w:w="8459" w:type="dxa"/>
        <w:jc w:val="center"/>
        <w:tblLayout w:type="fixed"/>
        <w:tblCellMar>
          <w:top w:w="0" w:type="dxa"/>
          <w:left w:w="0" w:type="dxa"/>
          <w:bottom w:w="0" w:type="dxa"/>
          <w:right w:w="0" w:type="dxa"/>
        </w:tblCellMar>
      </w:tblPr>
      <w:tblGrid>
        <w:gridCol w:w="993"/>
        <w:gridCol w:w="2288"/>
        <w:gridCol w:w="2184"/>
        <w:gridCol w:w="2994"/>
      </w:tblGrid>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b/>
                <w:color w:val="000000"/>
                <w:sz w:val="24"/>
              </w:rPr>
            </w:pPr>
            <w:bookmarkStart w:id="17" w:name="_Toc7235"/>
            <w:r>
              <w:rPr>
                <w:rFonts w:hint="eastAsia" w:ascii="宋体" w:hAnsi="宋体" w:eastAsia="宋体" w:cs="宋体"/>
                <w:b/>
                <w:color w:val="000000"/>
                <w:kern w:val="0"/>
                <w:sz w:val="24"/>
              </w:rPr>
              <w:t>月份</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户数（户）</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人次（人）</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金额（万元）</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1802</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2825</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116.4256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1788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2793</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115.2190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1798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2816</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115.9338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1801</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2822</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115.6232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1816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2857</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116.3239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1836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2887</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116.9033</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1836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2895</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116.8663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1829</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2884</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116.2257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1825</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2874</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125.6811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1823</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2869</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125.2705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1826</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2874</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125.3358 </w:t>
            </w:r>
          </w:p>
        </w:tc>
      </w:tr>
      <w:tr>
        <w:tblPrEx>
          <w:tblCellMar>
            <w:top w:w="0" w:type="dxa"/>
            <w:left w:w="0" w:type="dxa"/>
            <w:bottom w:w="0" w:type="dxa"/>
            <w:right w:w="0" w:type="dxa"/>
          </w:tblCellMar>
        </w:tblPrEx>
        <w:trPr>
          <w:trHeight w:val="30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1818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2858</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color w:val="000000"/>
                <w:sz w:val="24"/>
              </w:rPr>
            </w:pPr>
            <w:r>
              <w:rPr>
                <w:rFonts w:hint="eastAsia" w:ascii="宋体" w:hAnsi="宋体" w:eastAsia="宋体" w:cs="宋体"/>
                <w:color w:val="000000"/>
                <w:kern w:val="0"/>
                <w:sz w:val="24"/>
              </w:rPr>
              <w:t xml:space="preserve"> 124.5550 </w:t>
            </w:r>
          </w:p>
        </w:tc>
      </w:tr>
      <w:tr>
        <w:tblPrEx>
          <w:tblCellMar>
            <w:top w:w="0" w:type="dxa"/>
            <w:left w:w="0" w:type="dxa"/>
            <w:bottom w:w="0" w:type="dxa"/>
            <w:right w:w="0" w:type="dxa"/>
          </w:tblCellMar>
        </w:tblPrEx>
        <w:trPr>
          <w:trHeight w:val="314" w:hRule="atLeast"/>
          <w:jc w:val="center"/>
        </w:trPr>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b/>
                <w:color w:val="000000"/>
                <w:sz w:val="24"/>
              </w:rPr>
            </w:pPr>
            <w:r>
              <w:rPr>
                <w:rFonts w:hint="eastAsia" w:ascii="宋体" w:hAnsi="宋体" w:eastAsia="宋体" w:cs="宋体"/>
                <w:b/>
                <w:color w:val="000000"/>
                <w:kern w:val="0"/>
                <w:sz w:val="24"/>
              </w:rPr>
              <w:t>合计</w:t>
            </w:r>
          </w:p>
        </w:tc>
        <w:tc>
          <w:tcPr>
            <w:tcW w:w="2288"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b/>
                <w:color w:val="000000"/>
                <w:sz w:val="24"/>
              </w:rPr>
            </w:pPr>
            <w:r>
              <w:rPr>
                <w:rFonts w:hint="eastAsia" w:ascii="宋体" w:hAnsi="宋体" w:eastAsia="宋体" w:cs="宋体"/>
                <w:b/>
                <w:color w:val="000000"/>
                <w:kern w:val="0"/>
                <w:sz w:val="24"/>
              </w:rPr>
              <w:t>21798</w:t>
            </w:r>
          </w:p>
        </w:tc>
        <w:tc>
          <w:tcPr>
            <w:tcW w:w="218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b/>
                <w:color w:val="000000"/>
                <w:sz w:val="24"/>
              </w:rPr>
            </w:pPr>
            <w:r>
              <w:rPr>
                <w:rFonts w:hint="eastAsia" w:ascii="宋体" w:hAnsi="宋体" w:eastAsia="宋体" w:cs="宋体"/>
                <w:b/>
                <w:color w:val="000000"/>
                <w:kern w:val="0"/>
                <w:sz w:val="24"/>
              </w:rPr>
              <w:t>34254</w:t>
            </w:r>
          </w:p>
        </w:tc>
        <w:tc>
          <w:tcPr>
            <w:tcW w:w="2994" w:type="dxa"/>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right"/>
              <w:textAlignment w:val="center"/>
              <w:rPr>
                <w:rFonts w:ascii="宋体" w:hAnsi="宋体" w:eastAsia="宋体" w:cs="宋体"/>
                <w:b/>
                <w:color w:val="000000"/>
                <w:sz w:val="24"/>
              </w:rPr>
            </w:pPr>
            <w:r>
              <w:rPr>
                <w:rFonts w:hint="eastAsia" w:ascii="宋体" w:hAnsi="宋体" w:eastAsia="宋体" w:cs="宋体"/>
                <w:b/>
                <w:color w:val="000000"/>
                <w:kern w:val="0"/>
                <w:sz w:val="24"/>
              </w:rPr>
              <w:t xml:space="preserve"> 1,430.3632 </w:t>
            </w:r>
          </w:p>
        </w:tc>
      </w:tr>
    </w:tbl>
    <w:p>
      <w:pPr>
        <w:pStyle w:val="25"/>
        <w:adjustRightInd w:val="0"/>
        <w:snapToGrid w:val="0"/>
        <w:spacing w:before="120" w:after="120" w:line="360" w:lineRule="auto"/>
        <w:ind w:firstLine="643" w:firstLineChars="200"/>
        <w:rPr>
          <w:rFonts w:ascii="黑体" w:hAnsi="黑体" w:eastAsia="黑体" w:cs="黑体"/>
        </w:rPr>
      </w:pPr>
      <w:bookmarkStart w:id="18" w:name="_Toc29675"/>
      <w:r>
        <w:rPr>
          <w:rFonts w:hint="eastAsia" w:ascii="黑体" w:hAnsi="黑体" w:eastAsia="黑体" w:cs="黑体"/>
        </w:rPr>
        <w:t>二、绩效评价工作情况</w:t>
      </w:r>
      <w:bookmarkEnd w:id="17"/>
      <w:bookmarkEnd w:id="18"/>
    </w:p>
    <w:p>
      <w:pPr>
        <w:pStyle w:val="25"/>
        <w:spacing w:before="120" w:after="120" w:line="360" w:lineRule="auto"/>
        <w:ind w:firstLine="602" w:firstLineChars="200"/>
        <w:rPr>
          <w:rFonts w:ascii="仿宋" w:hAnsi="仿宋" w:eastAsia="仿宋"/>
          <w:sz w:val="30"/>
          <w:szCs w:val="30"/>
        </w:rPr>
      </w:pPr>
      <w:bookmarkStart w:id="19" w:name="_Toc28559"/>
      <w:bookmarkStart w:id="20" w:name="_Toc27950"/>
      <w:r>
        <w:rPr>
          <w:rFonts w:hint="eastAsia" w:ascii="仿宋" w:hAnsi="仿宋" w:eastAsia="仿宋"/>
          <w:sz w:val="30"/>
          <w:szCs w:val="30"/>
        </w:rPr>
        <w:t>（一）绩效评价依据</w:t>
      </w:r>
      <w:bookmarkEnd w:id="19"/>
      <w:bookmarkEnd w:id="20"/>
    </w:p>
    <w:p>
      <w:pPr>
        <w:spacing w:line="360" w:lineRule="auto"/>
        <w:ind w:firstLine="600" w:firstLineChars="200"/>
      </w:pPr>
      <w:r>
        <w:rPr>
          <w:rFonts w:hint="eastAsia" w:ascii="仿宋" w:hAnsi="仿宋" w:eastAsia="仿宋" w:cs="仿宋"/>
          <w:szCs w:val="30"/>
        </w:rPr>
        <w:t>1.《中共中央国务院关于全面实施预算绩效管理的意见》（中发〔2018〕34号）；</w:t>
      </w:r>
    </w:p>
    <w:p>
      <w:pPr>
        <w:spacing w:line="360" w:lineRule="auto"/>
        <w:ind w:firstLine="600" w:firstLineChars="200"/>
        <w:rPr>
          <w:rFonts w:ascii="仿宋_GB2312"/>
          <w:szCs w:val="30"/>
        </w:rPr>
      </w:pPr>
      <w:r>
        <w:rPr>
          <w:rFonts w:hint="eastAsia" w:ascii="仿宋" w:hAnsi="仿宋" w:eastAsia="仿宋" w:cs="仿宋"/>
          <w:szCs w:val="30"/>
        </w:rPr>
        <w:t>2.《中共巫溪县委巫溪县人民政府关于全面实施预算绩效管理的实施意见》（巫溪委发〔2019〕27号）；</w:t>
      </w:r>
    </w:p>
    <w:p>
      <w:pPr>
        <w:spacing w:line="360" w:lineRule="auto"/>
        <w:ind w:firstLine="600" w:firstLineChars="200"/>
        <w:rPr>
          <w:rFonts w:ascii="仿宋" w:hAnsi="仿宋" w:eastAsia="仿宋" w:cs="仿宋"/>
          <w:szCs w:val="30"/>
        </w:rPr>
      </w:pPr>
      <w:r>
        <w:rPr>
          <w:rFonts w:hint="eastAsia" w:ascii="仿宋" w:hAnsi="仿宋" w:eastAsia="仿宋" w:cs="仿宋"/>
          <w:szCs w:val="30"/>
        </w:rPr>
        <w:t>3.《巫溪县财政局关于印发巫溪县政策和项目绩效管理办法（试行）的通知》（</w:t>
      </w:r>
      <w:r>
        <w:rPr>
          <w:rFonts w:hint="eastAsia" w:ascii="仿宋" w:hAnsi="仿宋" w:eastAsia="仿宋" w:cs="仿宋"/>
          <w:bCs/>
        </w:rPr>
        <w:t>溪财发〔2020〕53号）</w:t>
      </w:r>
      <w:r>
        <w:rPr>
          <w:rFonts w:hint="eastAsia" w:ascii="仿宋" w:hAnsi="仿宋" w:eastAsia="仿宋" w:cs="仿宋"/>
          <w:szCs w:val="30"/>
        </w:rPr>
        <w:t>；</w:t>
      </w:r>
    </w:p>
    <w:p>
      <w:pPr>
        <w:spacing w:line="360" w:lineRule="auto"/>
        <w:ind w:firstLine="600" w:firstLineChars="200"/>
        <w:rPr>
          <w:rFonts w:ascii="仿宋" w:hAnsi="仿宋" w:eastAsia="仿宋" w:cs="仿宋"/>
          <w:szCs w:val="30"/>
        </w:rPr>
      </w:pPr>
      <w:r>
        <w:rPr>
          <w:rFonts w:hint="eastAsia" w:ascii="仿宋" w:hAnsi="仿宋" w:eastAsia="仿宋" w:cs="仿宋"/>
          <w:szCs w:val="30"/>
        </w:rPr>
        <w:t>4.《重庆市民政局关于印发&lt;重庆市最低生活保障申请审批规程&gt;和&lt;重庆市最低生活保障动态管理规范&gt;的通知》（渝民发〔2016〕80号</w:t>
      </w:r>
      <w:r>
        <w:rPr>
          <w:rFonts w:hint="eastAsia" w:ascii="仿宋" w:hAnsi="仿宋" w:eastAsia="仿宋" w:cs="仿宋"/>
          <w:bCs/>
        </w:rPr>
        <w:t>）</w:t>
      </w:r>
      <w:r>
        <w:rPr>
          <w:rFonts w:hint="eastAsia" w:ascii="仿宋" w:hAnsi="仿宋" w:eastAsia="仿宋" w:cs="仿宋"/>
          <w:szCs w:val="30"/>
        </w:rPr>
        <w:t>；</w:t>
      </w:r>
    </w:p>
    <w:p>
      <w:pPr>
        <w:spacing w:line="360" w:lineRule="auto"/>
        <w:ind w:firstLine="600" w:firstLineChars="200"/>
        <w:rPr>
          <w:rFonts w:ascii="仿宋" w:hAnsi="仿宋" w:eastAsia="仿宋" w:cs="仿宋"/>
          <w:szCs w:val="30"/>
        </w:rPr>
      </w:pPr>
      <w:r>
        <w:rPr>
          <w:rFonts w:hint="eastAsia" w:ascii="仿宋" w:hAnsi="仿宋" w:eastAsia="仿宋" w:cs="仿宋"/>
          <w:szCs w:val="30"/>
        </w:rPr>
        <w:t>5.《</w:t>
      </w:r>
      <w:r>
        <w:rPr>
          <w:rFonts w:ascii="仿宋" w:hAnsi="仿宋" w:eastAsia="仿宋" w:cs="仿宋"/>
          <w:szCs w:val="30"/>
        </w:rPr>
        <w:t>重庆市人民政府办公厅关于印发重庆市最低生活保障条件认定办法（修订）的通知</w:t>
      </w:r>
      <w:r>
        <w:rPr>
          <w:rFonts w:hint="eastAsia" w:ascii="仿宋" w:hAnsi="仿宋" w:eastAsia="仿宋" w:cs="仿宋"/>
          <w:szCs w:val="30"/>
        </w:rPr>
        <w:t>》（渝府办发〔2017〕33号）；</w:t>
      </w:r>
    </w:p>
    <w:p>
      <w:pPr>
        <w:spacing w:line="360" w:lineRule="auto"/>
        <w:ind w:firstLine="600" w:firstLineChars="200"/>
        <w:rPr>
          <w:rFonts w:eastAsia="仿宋"/>
        </w:rPr>
      </w:pPr>
      <w:r>
        <w:rPr>
          <w:rFonts w:hint="eastAsia" w:ascii="仿宋" w:hAnsi="仿宋" w:eastAsia="仿宋" w:cs="仿宋"/>
          <w:szCs w:val="30"/>
        </w:rPr>
        <w:t>6.《</w:t>
      </w:r>
      <w:r>
        <w:rPr>
          <w:rFonts w:hint="eastAsia" w:ascii="方正仿宋_GBK" w:hAnsi="仿宋" w:eastAsia="方正仿宋_GBK" w:cs="仿宋"/>
          <w:szCs w:val="30"/>
        </w:rPr>
        <w:t>重庆市民政局重庆市</w:t>
      </w:r>
      <w:r>
        <w:rPr>
          <w:rFonts w:hint="eastAsia" w:ascii="仿宋" w:hAnsi="仿宋" w:eastAsia="仿宋" w:cs="仿宋"/>
          <w:szCs w:val="30"/>
        </w:rPr>
        <w:t>财政局关于提高城乡低保等社会救助保障标准的通知》（渝民〔2019〕70号）；</w:t>
      </w:r>
    </w:p>
    <w:p>
      <w:pPr>
        <w:spacing w:line="360" w:lineRule="auto"/>
        <w:ind w:firstLine="600" w:firstLineChars="200"/>
        <w:rPr>
          <w:rFonts w:ascii="仿宋" w:hAnsi="仿宋" w:eastAsia="仿宋" w:cs="仿宋"/>
          <w:szCs w:val="30"/>
        </w:rPr>
      </w:pPr>
      <w:r>
        <w:rPr>
          <w:rFonts w:hint="eastAsia" w:ascii="仿宋" w:hAnsi="仿宋" w:eastAsia="仿宋" w:cs="仿宋"/>
          <w:szCs w:val="30"/>
        </w:rPr>
        <w:t>7.项目实施方案、相关资金文件、财务资料；</w:t>
      </w:r>
    </w:p>
    <w:p>
      <w:pPr>
        <w:spacing w:line="360" w:lineRule="auto"/>
        <w:ind w:firstLine="600" w:firstLineChars="200"/>
        <w:rPr>
          <w:rFonts w:ascii="仿宋" w:hAnsi="仿宋" w:eastAsia="仿宋" w:cs="仿宋"/>
          <w:color w:val="000000"/>
        </w:rPr>
      </w:pPr>
      <w:r>
        <w:rPr>
          <w:rFonts w:hint="eastAsia" w:ascii="仿宋" w:hAnsi="仿宋" w:eastAsia="仿宋" w:cs="仿宋"/>
          <w:szCs w:val="30"/>
        </w:rPr>
        <w:t>8.其他相关依据。</w:t>
      </w:r>
    </w:p>
    <w:p>
      <w:pPr>
        <w:pStyle w:val="25"/>
        <w:spacing w:before="120" w:after="120" w:line="600" w:lineRule="exact"/>
        <w:ind w:firstLine="602" w:firstLineChars="200"/>
        <w:rPr>
          <w:rFonts w:ascii="仿宋" w:hAnsi="仿宋" w:eastAsia="仿宋"/>
          <w:sz w:val="30"/>
          <w:szCs w:val="30"/>
        </w:rPr>
      </w:pPr>
      <w:bookmarkStart w:id="21" w:name="_Toc6605"/>
      <w:bookmarkStart w:id="22" w:name="_Toc16487"/>
      <w:bookmarkStart w:id="23" w:name="_Toc7166"/>
      <w:bookmarkStart w:id="24" w:name="_Toc18876941"/>
      <w:r>
        <w:rPr>
          <w:rFonts w:hint="eastAsia" w:ascii="仿宋" w:hAnsi="仿宋" w:eastAsia="仿宋"/>
          <w:sz w:val="30"/>
          <w:szCs w:val="30"/>
        </w:rPr>
        <w:t>（二）评价主要目的</w:t>
      </w:r>
      <w:bookmarkEnd w:id="21"/>
      <w:r>
        <w:rPr>
          <w:rFonts w:hint="eastAsia" w:ascii="仿宋" w:hAnsi="仿宋" w:eastAsia="仿宋"/>
          <w:sz w:val="30"/>
          <w:szCs w:val="30"/>
        </w:rPr>
        <w:t>、范围、内容</w:t>
      </w:r>
      <w:bookmarkEnd w:id="22"/>
    </w:p>
    <w:p>
      <w:pPr>
        <w:spacing w:beforeLines="50" w:afterLines="50" w:line="600" w:lineRule="exact"/>
        <w:ind w:firstLine="602" w:firstLineChars="200"/>
        <w:rPr>
          <w:rFonts w:ascii="仿宋" w:hAnsi="仿宋" w:eastAsia="仿宋" w:cs="仿宋"/>
          <w:szCs w:val="30"/>
        </w:rPr>
      </w:pPr>
      <w:r>
        <w:rPr>
          <w:rFonts w:hint="eastAsia" w:ascii="仿宋" w:hAnsi="仿宋" w:eastAsia="仿宋"/>
          <w:b/>
          <w:szCs w:val="30"/>
        </w:rPr>
        <w:t>1.评价主要目的</w:t>
      </w:r>
    </w:p>
    <w:p>
      <w:pPr>
        <w:spacing w:line="600" w:lineRule="exact"/>
        <w:ind w:firstLine="600" w:firstLineChars="200"/>
        <w:rPr>
          <w:rFonts w:ascii="仿宋" w:hAnsi="仿宋" w:eastAsia="仿宋"/>
          <w:szCs w:val="30"/>
        </w:rPr>
      </w:pPr>
      <w:r>
        <w:rPr>
          <w:rFonts w:hint="eastAsia" w:ascii="仿宋" w:hAnsi="仿宋" w:eastAsia="仿宋" w:cs="仿宋"/>
          <w:szCs w:val="30"/>
        </w:rPr>
        <w:t>通过对项目实施以及财政专项资金使用情况的调研和评价，客观反映项目的实施情况、财政资金使用效益，总结项目成功经验，科学研判项目实施以及资金使用过程中存在的问题和局限，为进一步提升预算管理水平、提高公共服务质量、优化公共资源配置提供决策参考，为未来类似项目专项资金安排、政策制度建设、预算绩效的推进提供必要的借鉴。</w:t>
      </w:r>
    </w:p>
    <w:bookmarkEnd w:id="23"/>
    <w:p>
      <w:pPr>
        <w:spacing w:beforeLines="50" w:afterLines="50" w:line="600" w:lineRule="exact"/>
        <w:ind w:firstLine="602" w:firstLineChars="200"/>
        <w:rPr>
          <w:rFonts w:ascii="仿宋" w:hAnsi="仿宋" w:eastAsia="仿宋"/>
          <w:b/>
          <w:szCs w:val="30"/>
        </w:rPr>
      </w:pPr>
      <w:bookmarkStart w:id="25" w:name="_Toc6635"/>
      <w:bookmarkStart w:id="26" w:name="_Toc11086"/>
      <w:bookmarkStart w:id="27" w:name="_Toc4074_WPSOffice_Level2"/>
      <w:bookmarkStart w:id="28" w:name="_Toc3550"/>
      <w:r>
        <w:rPr>
          <w:rFonts w:hint="eastAsia" w:ascii="仿宋" w:hAnsi="仿宋" w:eastAsia="仿宋"/>
          <w:b/>
          <w:szCs w:val="30"/>
        </w:rPr>
        <w:t>2.评价内容</w:t>
      </w:r>
      <w:bookmarkEnd w:id="25"/>
      <w:bookmarkEnd w:id="26"/>
      <w:bookmarkEnd w:id="27"/>
      <w:bookmarkEnd w:id="28"/>
      <w:r>
        <w:rPr>
          <w:rFonts w:hint="eastAsia" w:ascii="仿宋" w:hAnsi="仿宋" w:eastAsia="仿宋"/>
          <w:b/>
          <w:szCs w:val="30"/>
        </w:rPr>
        <w:t>及范围</w:t>
      </w:r>
    </w:p>
    <w:p>
      <w:pPr>
        <w:spacing w:line="600" w:lineRule="exact"/>
        <w:ind w:firstLine="600" w:firstLineChars="200"/>
        <w:rPr>
          <w:rFonts w:ascii="仿宋_GB2312" w:cs="宋体"/>
          <w:color w:val="000000"/>
          <w:kern w:val="0"/>
          <w:szCs w:val="30"/>
        </w:rPr>
      </w:pPr>
      <w:r>
        <w:rPr>
          <w:rFonts w:hint="eastAsia" w:ascii="仿宋" w:hAnsi="仿宋" w:eastAsia="仿宋" w:cs="仿宋"/>
          <w:kern w:val="0"/>
          <w:szCs w:val="30"/>
        </w:rPr>
        <w:t>重点评价该项目财政资金使用的规范性、安全性和有效性及评价项目的社会效益、经济效益、可持续性。评价区间为2019</w:t>
      </w:r>
      <w:r>
        <w:rPr>
          <w:rFonts w:hint="eastAsia" w:ascii="仿宋" w:hAnsi="仿宋" w:eastAsia="仿宋" w:cs="仿宋"/>
          <w:kern w:val="44"/>
          <w:szCs w:val="30"/>
        </w:rPr>
        <w:t>年度</w:t>
      </w:r>
      <w:r>
        <w:rPr>
          <w:rFonts w:hint="eastAsia" w:ascii="仿宋" w:hAnsi="仿宋" w:eastAsia="仿宋" w:cs="仿宋"/>
          <w:kern w:val="0"/>
          <w:szCs w:val="30"/>
        </w:rPr>
        <w:t>。</w:t>
      </w:r>
    </w:p>
    <w:bookmarkEnd w:id="24"/>
    <w:p>
      <w:pPr>
        <w:pStyle w:val="25"/>
        <w:spacing w:before="120" w:after="120" w:line="600" w:lineRule="exact"/>
        <w:ind w:firstLine="602" w:firstLineChars="200"/>
        <w:rPr>
          <w:rFonts w:ascii="仿宋" w:hAnsi="仿宋" w:eastAsia="仿宋"/>
          <w:sz w:val="30"/>
          <w:szCs w:val="30"/>
        </w:rPr>
      </w:pPr>
      <w:bookmarkStart w:id="29" w:name="_Toc11746"/>
      <w:bookmarkStart w:id="30" w:name="_Toc9415"/>
      <w:r>
        <w:rPr>
          <w:rFonts w:hint="eastAsia" w:ascii="仿宋" w:hAnsi="仿宋" w:eastAsia="仿宋"/>
          <w:sz w:val="30"/>
          <w:szCs w:val="30"/>
        </w:rPr>
        <w:t>（三）</w:t>
      </w:r>
      <w:bookmarkEnd w:id="29"/>
      <w:r>
        <w:rPr>
          <w:rFonts w:hint="eastAsia" w:ascii="仿宋" w:hAnsi="仿宋" w:eastAsia="仿宋" w:cs="仿宋"/>
          <w:sz w:val="30"/>
          <w:szCs w:val="30"/>
        </w:rPr>
        <w:t>评价标准及评价方法</w:t>
      </w:r>
      <w:bookmarkEnd w:id="30"/>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本次评价严格遵守国家法律、法规和政策规定，遵循科学规范、公正公开、绩效相关、定性与定量相结合的评价原则，采取计划标准、历史标准相结合的方式制定绩效评价指标体系及具体评价标准。本次评价方法采取现场和非现场评价相结合的方式实施，具体采用了比较法、因素分析法、公众评判法等评价方法。</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1.比较法。是指通过对绩效目标与实施效果、历史与当期情况、不同部门和地区同类支出的比较，综合分析绩效目标实现程度。</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2.因素分析法。通过综合分析影响绩效目标实现、实施效果的内外因素，评价绩效目标实现程度。</w:t>
      </w:r>
    </w:p>
    <w:p>
      <w:pPr>
        <w:spacing w:line="600" w:lineRule="exact"/>
        <w:ind w:firstLine="600" w:firstLineChars="200"/>
        <w:rPr>
          <w:rFonts w:ascii="仿宋" w:hAnsi="仿宋" w:eastAsia="仿宋" w:cs="仿宋"/>
          <w:kern w:val="0"/>
          <w:szCs w:val="30"/>
        </w:rPr>
      </w:pPr>
      <w:r>
        <w:rPr>
          <w:rFonts w:hint="eastAsia" w:ascii="仿宋" w:hAnsi="仿宋" w:eastAsia="仿宋" w:cs="仿宋"/>
          <w:kern w:val="0"/>
          <w:szCs w:val="30"/>
        </w:rPr>
        <w:t>3.公众评判法。通过专家评估、公众问卷等对专项资金使用效果进行评判。</w:t>
      </w:r>
    </w:p>
    <w:p>
      <w:pPr>
        <w:pStyle w:val="25"/>
        <w:spacing w:before="120" w:after="120" w:line="600" w:lineRule="exact"/>
        <w:ind w:firstLine="602" w:firstLineChars="200"/>
        <w:rPr>
          <w:rFonts w:ascii="仿宋" w:hAnsi="仿宋" w:eastAsia="仿宋" w:cs="仿宋"/>
          <w:sz w:val="30"/>
          <w:szCs w:val="30"/>
        </w:rPr>
      </w:pPr>
      <w:bookmarkStart w:id="31" w:name="_Toc19553"/>
      <w:r>
        <w:rPr>
          <w:rFonts w:hint="eastAsia" w:ascii="仿宋" w:hAnsi="仿宋" w:eastAsia="仿宋" w:cs="仿宋"/>
          <w:sz w:val="30"/>
          <w:szCs w:val="30"/>
        </w:rPr>
        <w:t>（四）评价指标体系</w:t>
      </w:r>
      <w:bookmarkEnd w:id="31"/>
    </w:p>
    <w:p>
      <w:pPr>
        <w:spacing w:line="600" w:lineRule="exact"/>
        <w:ind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根据项目的目标、实施方案、考核标准等，经与县财政局充分讨论，拟定巫溪县2019年城市低保项目指标体系。整个指标体系分为</w:t>
      </w:r>
      <w:r>
        <w:rPr>
          <w:rFonts w:hint="eastAsia" w:ascii="仿宋" w:hAnsi="仿宋" w:eastAsia="仿宋" w:cs="仿宋"/>
          <w:kern w:val="0"/>
          <w:szCs w:val="30"/>
        </w:rPr>
        <w:t>投入（7分）、过程（28分）、产出（30分）及效果（35分</w:t>
      </w:r>
      <w:r>
        <w:rPr>
          <w:rFonts w:hint="eastAsia" w:ascii="仿宋" w:hAnsi="仿宋" w:eastAsia="仿宋" w:cs="仿宋"/>
          <w:color w:val="000000"/>
          <w:kern w:val="0"/>
          <w:szCs w:val="30"/>
        </w:rPr>
        <w:t>）4个一级指标，并设置了11个二级指标、18个三级指标。具体指标详见附件1《巫溪县2019年城市低保项目绩效评价指标体系及评分表》。</w:t>
      </w:r>
    </w:p>
    <w:p>
      <w:pPr>
        <w:pStyle w:val="2"/>
        <w:spacing w:beforeLines="50" w:afterLines="50" w:line="600" w:lineRule="exact"/>
        <w:ind w:firstLine="602" w:firstLineChars="200"/>
        <w:rPr>
          <w:rFonts w:ascii="仿宋" w:hAnsi="仿宋" w:eastAsia="仿宋" w:cs="仿宋"/>
          <w:kern w:val="0"/>
          <w:sz w:val="30"/>
          <w:szCs w:val="30"/>
        </w:rPr>
      </w:pPr>
      <w:bookmarkStart w:id="32" w:name="_Toc46324354"/>
      <w:bookmarkStart w:id="33" w:name="_Toc2839"/>
      <w:r>
        <w:rPr>
          <w:rFonts w:hint="eastAsia" w:ascii="仿宋" w:hAnsi="仿宋" w:eastAsia="仿宋" w:cs="仿宋"/>
          <w:kern w:val="0"/>
          <w:sz w:val="30"/>
          <w:szCs w:val="30"/>
        </w:rPr>
        <w:t>（五）评价样本确定情况</w:t>
      </w:r>
      <w:bookmarkEnd w:id="32"/>
      <w:bookmarkEnd w:id="33"/>
    </w:p>
    <w:p>
      <w:pPr>
        <w:spacing w:line="600" w:lineRule="exact"/>
        <w:ind w:firstLine="600" w:firstLineChars="200"/>
        <w:rPr>
          <w:rFonts w:ascii="仿宋" w:hAnsi="仿宋" w:eastAsia="仿宋" w:cs="仿宋"/>
          <w:color w:val="000000"/>
          <w:kern w:val="0"/>
          <w:szCs w:val="30"/>
        </w:rPr>
      </w:pPr>
      <w:r>
        <w:rPr>
          <w:rFonts w:hint="eastAsia" w:ascii="仿宋" w:hAnsi="仿宋" w:eastAsia="仿宋" w:cs="仿宋"/>
          <w:color w:val="000000"/>
          <w:kern w:val="0"/>
          <w:szCs w:val="30"/>
        </w:rPr>
        <w:t>项目样本选择以确保评价内容完整、评价重点突出、评价结果客观为原则，随机选择5个以上的调查对象作为样本点，且全部样本点涉及的评价资金规模占评价项目资金的比例不低于10%。综合考虑本次评价项目涵盖乡镇较广、居住地点较为</w:t>
      </w:r>
      <w:r>
        <w:rPr>
          <w:rFonts w:hint="eastAsia" w:ascii="仿宋" w:hAnsi="仿宋" w:eastAsia="仿宋" w:cs="仿宋"/>
          <w:color w:val="FF0000"/>
          <w:kern w:val="0"/>
          <w:szCs w:val="30"/>
        </w:rPr>
        <w:t>分散</w:t>
      </w:r>
      <w:r>
        <w:rPr>
          <w:rFonts w:hint="eastAsia" w:ascii="仿宋" w:hAnsi="仿宋" w:eastAsia="仿宋" w:cs="仿宋"/>
          <w:color w:val="000000"/>
          <w:kern w:val="0"/>
          <w:szCs w:val="30"/>
        </w:rPr>
        <w:t>等特点，本次现场评价样本量乡镇控制在5个左右。另外，通过城市低保名单随机抽样约100人进行电话问卷调查。</w:t>
      </w:r>
    </w:p>
    <w:p>
      <w:pPr>
        <w:spacing w:line="600" w:lineRule="exact"/>
        <w:ind w:firstLine="602" w:firstLineChars="200"/>
        <w:outlineLvl w:val="0"/>
        <w:rPr>
          <w:rFonts w:ascii="仿宋" w:hAnsi="仿宋" w:eastAsia="仿宋" w:cs="仿宋"/>
          <w:b/>
          <w:bCs/>
          <w:szCs w:val="30"/>
        </w:rPr>
      </w:pPr>
      <w:bookmarkStart w:id="34" w:name="_Toc2034"/>
      <w:bookmarkStart w:id="35" w:name="_Toc25711"/>
      <w:bookmarkStart w:id="36" w:name="_Toc21336"/>
      <w:bookmarkStart w:id="37" w:name="_Toc4526"/>
      <w:r>
        <w:rPr>
          <w:rFonts w:hint="eastAsia" w:ascii="仿宋" w:hAnsi="仿宋" w:eastAsia="仿宋" w:cs="仿宋"/>
          <w:b/>
          <w:bCs/>
          <w:szCs w:val="30"/>
        </w:rPr>
        <w:t>（六）绩效评价工作过程</w:t>
      </w:r>
      <w:bookmarkEnd w:id="34"/>
      <w:bookmarkEnd w:id="35"/>
      <w:bookmarkEnd w:id="36"/>
    </w:p>
    <w:p>
      <w:pPr>
        <w:spacing w:line="600" w:lineRule="exact"/>
        <w:ind w:firstLine="600" w:firstLineChars="200"/>
        <w:rPr>
          <w:rFonts w:ascii="仿宋" w:hAnsi="仿宋" w:eastAsia="仿宋"/>
          <w:szCs w:val="30"/>
        </w:rPr>
      </w:pPr>
      <w:r>
        <w:rPr>
          <w:rFonts w:hint="eastAsia" w:ascii="仿宋" w:hAnsi="仿宋" w:eastAsia="仿宋"/>
          <w:szCs w:val="30"/>
        </w:rPr>
        <w:t>绩效评价工作过程主要包括前期准备、组织实施和分析评价三个阶段。详细步骤如下：</w:t>
      </w:r>
    </w:p>
    <w:p>
      <w:pPr>
        <w:spacing w:line="600" w:lineRule="exact"/>
        <w:ind w:firstLine="602" w:firstLineChars="200"/>
        <w:rPr>
          <w:rFonts w:ascii="仿宋" w:hAnsi="仿宋" w:eastAsia="仿宋"/>
          <w:szCs w:val="30"/>
        </w:rPr>
      </w:pPr>
      <w:r>
        <w:rPr>
          <w:rFonts w:hint="eastAsia" w:ascii="仿宋" w:hAnsi="仿宋" w:eastAsia="仿宋" w:cs="仿宋"/>
          <w:b/>
          <w:bCs/>
          <w:szCs w:val="30"/>
        </w:rPr>
        <w:t>1.前期准备。</w:t>
      </w:r>
      <w:r>
        <w:rPr>
          <w:rFonts w:hint="eastAsia" w:ascii="仿宋" w:hAnsi="仿宋" w:eastAsia="仿宋"/>
          <w:szCs w:val="30"/>
        </w:rPr>
        <w:t>成立绩效评价工作组，落实协调人员，与相关部门、单位进行衔接沟通、前期调研、政策研究，制定绩效评价工作方案，进一步收集所需资料，与相关部门、科室人员座谈，拟定绩效评价指标体系。</w:t>
      </w:r>
    </w:p>
    <w:p>
      <w:pPr>
        <w:spacing w:line="600" w:lineRule="exact"/>
        <w:ind w:firstLine="602" w:firstLineChars="200"/>
        <w:rPr>
          <w:rFonts w:ascii="仿宋" w:hAnsi="仿宋" w:eastAsia="仿宋" w:cs="仿宋"/>
          <w:szCs w:val="30"/>
        </w:rPr>
      </w:pPr>
      <w:bookmarkStart w:id="38" w:name="_Toc16249"/>
      <w:bookmarkStart w:id="39" w:name="_Toc32298"/>
      <w:r>
        <w:rPr>
          <w:rFonts w:ascii="仿宋" w:hAnsi="仿宋" w:eastAsia="仿宋" w:cs="仿宋"/>
          <w:b/>
          <w:bCs/>
          <w:szCs w:val="30"/>
        </w:rPr>
        <w:t>2.组织实施。</w:t>
      </w:r>
      <w:r>
        <w:rPr>
          <w:rFonts w:hint="eastAsia" w:ascii="仿宋" w:hAnsi="仿宋" w:eastAsia="仿宋"/>
          <w:szCs w:val="30"/>
        </w:rPr>
        <w:t>开展现场查勘、收集资料、问卷调查，汇总分析并撰写项目情况汇总材料并进行初步评分。</w:t>
      </w:r>
      <w:bookmarkEnd w:id="38"/>
      <w:bookmarkEnd w:id="39"/>
    </w:p>
    <w:p>
      <w:pPr>
        <w:spacing w:line="600" w:lineRule="exact"/>
        <w:ind w:firstLine="602" w:firstLineChars="200"/>
        <w:rPr>
          <w:rFonts w:ascii="黑体" w:hAnsi="黑体" w:eastAsia="黑体" w:cs="黑体"/>
        </w:rPr>
      </w:pPr>
      <w:bookmarkStart w:id="40" w:name="_Toc1093"/>
      <w:bookmarkStart w:id="41" w:name="_Toc32139"/>
      <w:r>
        <w:rPr>
          <w:rFonts w:ascii="仿宋" w:hAnsi="仿宋" w:eastAsia="仿宋" w:cs="仿宋"/>
          <w:b/>
          <w:bCs/>
          <w:szCs w:val="30"/>
        </w:rPr>
        <w:t>3.分析评价。</w:t>
      </w:r>
      <w:r>
        <w:rPr>
          <w:rFonts w:hint="eastAsia" w:ascii="仿宋" w:hAnsi="仿宋" w:eastAsia="仿宋"/>
          <w:szCs w:val="30"/>
        </w:rPr>
        <w:t>邀请相关专业人士召开会议进行评议打分，撰写绩效评价报告初稿，提交县财政局相关科室和被评价单位征求意见, 并按县财政局报告审定程序报送、修改、完善绩效评价报告。</w:t>
      </w:r>
      <w:bookmarkEnd w:id="40"/>
      <w:bookmarkEnd w:id="41"/>
    </w:p>
    <w:p>
      <w:pPr>
        <w:pStyle w:val="25"/>
        <w:adjustRightInd w:val="0"/>
        <w:snapToGrid w:val="0"/>
        <w:spacing w:before="120" w:after="120" w:line="600" w:lineRule="exact"/>
        <w:ind w:firstLine="643" w:firstLineChars="200"/>
        <w:rPr>
          <w:rFonts w:ascii="黑体" w:hAnsi="黑体" w:eastAsia="黑体" w:cs="黑体"/>
        </w:rPr>
      </w:pPr>
      <w:bookmarkStart w:id="42" w:name="_Toc16028"/>
      <w:r>
        <w:rPr>
          <w:rFonts w:hint="eastAsia" w:ascii="黑体" w:hAnsi="黑体" w:eastAsia="黑体" w:cs="黑体"/>
        </w:rPr>
        <w:t>三、绩效评价指标分析情况</w:t>
      </w:r>
      <w:bookmarkEnd w:id="37"/>
      <w:bookmarkEnd w:id="42"/>
    </w:p>
    <w:p>
      <w:pPr>
        <w:spacing w:line="600" w:lineRule="exact"/>
        <w:ind w:firstLine="600" w:firstLineChars="200"/>
        <w:rPr>
          <w:rFonts w:ascii="仿宋" w:hAnsi="仿宋" w:eastAsia="仿宋" w:cs="仿宋"/>
          <w:szCs w:val="30"/>
        </w:rPr>
      </w:pPr>
      <w:bookmarkStart w:id="43" w:name="_Toc29513"/>
      <w:r>
        <w:rPr>
          <w:rFonts w:hint="eastAsia" w:ascii="仿宋" w:hAnsi="仿宋" w:eastAsia="仿宋" w:cs="仿宋"/>
          <w:szCs w:val="30"/>
        </w:rPr>
        <w:t>按照《</w:t>
      </w:r>
      <w:r>
        <w:rPr>
          <w:rFonts w:hint="eastAsia" w:ascii="仿宋" w:hAnsi="仿宋" w:eastAsia="仿宋"/>
          <w:szCs w:val="30"/>
        </w:rPr>
        <w:t>巫溪县2019年城市低保项目绩效评价指标体系</w:t>
      </w:r>
      <w:r>
        <w:rPr>
          <w:rFonts w:hint="eastAsia" w:ascii="仿宋" w:hAnsi="仿宋" w:eastAsia="仿宋" w:cs="仿宋"/>
          <w:szCs w:val="30"/>
        </w:rPr>
        <w:t>》中设定的指标逐一展开分析。</w:t>
      </w:r>
    </w:p>
    <w:p>
      <w:pPr>
        <w:pStyle w:val="25"/>
        <w:spacing w:before="120" w:after="120" w:line="600" w:lineRule="exact"/>
        <w:ind w:firstLine="602" w:firstLineChars="200"/>
        <w:rPr>
          <w:rFonts w:ascii="仿宋" w:hAnsi="仿宋" w:eastAsia="仿宋"/>
          <w:sz w:val="30"/>
          <w:szCs w:val="30"/>
        </w:rPr>
      </w:pPr>
      <w:bookmarkStart w:id="44" w:name="_Toc31418"/>
      <w:bookmarkStart w:id="45" w:name="_Toc17587243"/>
      <w:bookmarkStart w:id="46" w:name="_Toc18803"/>
      <w:bookmarkStart w:id="47" w:name="_Toc31887"/>
      <w:bookmarkStart w:id="48" w:name="_Toc32038"/>
      <w:r>
        <w:rPr>
          <w:rFonts w:hint="eastAsia" w:ascii="仿宋" w:hAnsi="仿宋" w:eastAsia="仿宋"/>
          <w:sz w:val="30"/>
          <w:szCs w:val="30"/>
        </w:rPr>
        <w:t>（一）</w:t>
      </w:r>
      <w:bookmarkEnd w:id="44"/>
      <w:bookmarkEnd w:id="45"/>
      <w:bookmarkEnd w:id="46"/>
      <w:bookmarkEnd w:id="47"/>
      <w:r>
        <w:rPr>
          <w:rFonts w:hint="eastAsia" w:ascii="仿宋" w:hAnsi="仿宋" w:eastAsia="仿宋"/>
          <w:sz w:val="30"/>
          <w:szCs w:val="30"/>
        </w:rPr>
        <w:t>项目指标情况分析</w:t>
      </w:r>
      <w:bookmarkEnd w:id="48"/>
    </w:p>
    <w:bookmarkEnd w:id="43"/>
    <w:p>
      <w:pPr>
        <w:spacing w:line="600" w:lineRule="exact"/>
        <w:ind w:firstLine="602" w:firstLineChars="200"/>
        <w:rPr>
          <w:rFonts w:ascii="仿宋" w:hAnsi="仿宋" w:eastAsia="仿宋"/>
          <w:szCs w:val="30"/>
        </w:rPr>
      </w:pPr>
      <w:bookmarkStart w:id="49" w:name="_Toc26142"/>
      <w:bookmarkStart w:id="50" w:name="_Toc7975"/>
      <w:bookmarkStart w:id="51" w:name="_Toc17587248"/>
      <w:bookmarkStart w:id="52" w:name="_Toc2805"/>
      <w:bookmarkStart w:id="53" w:name="_Toc18726"/>
      <w:r>
        <w:rPr>
          <w:rFonts w:hint="eastAsia" w:ascii="仿宋" w:hAnsi="仿宋" w:eastAsia="仿宋"/>
          <w:b/>
          <w:kern w:val="0"/>
          <w:szCs w:val="30"/>
        </w:rPr>
        <w:t>绩效目标合理性：</w:t>
      </w:r>
      <w:r>
        <w:rPr>
          <w:rFonts w:hint="eastAsia" w:ascii="仿宋" w:hAnsi="仿宋" w:eastAsia="仿宋"/>
          <w:szCs w:val="30"/>
        </w:rPr>
        <w:t>根据县民政局提供的《项目资金绩效目标自评表》，县民政局针对“2019年困难群众基本生活救助项目（包含城乡低保、</w:t>
      </w:r>
      <w:r>
        <w:rPr>
          <w:rFonts w:hint="eastAsia" w:ascii="仿宋" w:hAnsi="仿宋" w:eastAsia="仿宋" w:cs="仿宋"/>
          <w:szCs w:val="30"/>
        </w:rPr>
        <w:t>城乡特困、临时救助等）</w:t>
      </w:r>
      <w:r>
        <w:rPr>
          <w:rFonts w:hint="eastAsia" w:ascii="仿宋" w:hAnsi="仿宋" w:eastAsia="仿宋"/>
          <w:szCs w:val="30"/>
        </w:rPr>
        <w:t>”设定了绩效目标，其中涉及城乡低保项目的目标为“全县城乡低保对象基本生活得到切实保障”、“各项补贴资金及时发放到位，应保尽保，应退尽退，阳光透明，维护社会的公</w:t>
      </w:r>
      <w:r>
        <w:rPr>
          <w:rFonts w:hint="eastAsia" w:ascii="仿宋" w:hAnsi="仿宋" w:eastAsia="仿宋"/>
          <w:color w:val="FF0000"/>
          <w:szCs w:val="30"/>
        </w:rPr>
        <w:t>平</w:t>
      </w:r>
      <w:r>
        <w:rPr>
          <w:rFonts w:hint="eastAsia" w:ascii="仿宋" w:hAnsi="仿宋" w:eastAsia="仿宋"/>
          <w:szCs w:val="30"/>
        </w:rPr>
        <w:t>和稳定。”所设定的绩效目标符合国家相关法律法规、国民经济发展规划和党委政府决策，与项目实施单位职责密切相关且为促进事业发展所必需。</w:t>
      </w:r>
    </w:p>
    <w:p>
      <w:pPr>
        <w:spacing w:line="600" w:lineRule="exact"/>
        <w:ind w:firstLine="602" w:firstLineChars="200"/>
        <w:rPr>
          <w:rFonts w:ascii="仿宋" w:hAnsi="仿宋" w:eastAsia="仿宋" w:cs="仿宋"/>
          <w:szCs w:val="30"/>
        </w:rPr>
      </w:pPr>
      <w:r>
        <w:rPr>
          <w:rFonts w:hint="eastAsia" w:ascii="仿宋" w:hAnsi="仿宋" w:eastAsia="仿宋"/>
          <w:b/>
          <w:kern w:val="0"/>
          <w:szCs w:val="30"/>
        </w:rPr>
        <w:t>绩效指标明确性：</w:t>
      </w:r>
      <w:r>
        <w:rPr>
          <w:rFonts w:hint="eastAsia" w:ascii="仿宋" w:hAnsi="仿宋" w:eastAsia="仿宋"/>
          <w:szCs w:val="30"/>
        </w:rPr>
        <w:t>根据县民政局提供的《项目资金绩效目标自评表》，县民政局对“2019年困难群众基本生活救助项目”制定了一系列绩效指标，其中涉及城乡低保项目的共8个，分别为</w:t>
      </w:r>
      <w:r>
        <w:rPr>
          <w:rFonts w:hint="eastAsia" w:ascii="仿宋" w:hAnsi="仿宋" w:eastAsia="仿宋" w:cs="仿宋"/>
          <w:szCs w:val="30"/>
        </w:rPr>
        <w:t>数量指标、质量指标、时效指标、成本指标、经济效益指标、社会效益指标、可持续影响指标和服务对象满意度，从产出、效益、满意度方面进行了绩效指标的制定，绩效指标较为明确</w:t>
      </w:r>
      <w:bookmarkStart w:id="54" w:name="_Toc287"/>
      <w:bookmarkStart w:id="55" w:name="_Toc22730"/>
      <w:bookmarkStart w:id="56" w:name="_Toc4364"/>
      <w:bookmarkStart w:id="57" w:name="_Toc17587244"/>
      <w:r>
        <w:rPr>
          <w:rFonts w:hint="eastAsia" w:ascii="仿宋" w:hAnsi="仿宋" w:eastAsia="仿宋" w:cs="仿宋"/>
          <w:szCs w:val="30"/>
        </w:rPr>
        <w:t>。但数量指标为年底根据实际完成情况设定，指标设置科学性有待提高。</w:t>
      </w:r>
    </w:p>
    <w:bookmarkEnd w:id="54"/>
    <w:bookmarkEnd w:id="55"/>
    <w:bookmarkEnd w:id="56"/>
    <w:bookmarkEnd w:id="57"/>
    <w:p>
      <w:pPr>
        <w:pStyle w:val="25"/>
        <w:spacing w:before="120" w:after="120" w:line="600" w:lineRule="exact"/>
        <w:ind w:firstLine="602" w:firstLineChars="200"/>
        <w:rPr>
          <w:rFonts w:ascii="仿宋" w:hAnsi="仿宋" w:eastAsia="仿宋"/>
          <w:sz w:val="30"/>
          <w:szCs w:val="30"/>
        </w:rPr>
      </w:pPr>
      <w:bookmarkStart w:id="58" w:name="_Toc6964"/>
      <w:bookmarkStart w:id="59" w:name="_Toc19558"/>
      <w:bookmarkStart w:id="60" w:name="_Toc17587247"/>
      <w:bookmarkStart w:id="61" w:name="_Toc28"/>
      <w:r>
        <w:rPr>
          <w:rFonts w:hint="eastAsia" w:ascii="仿宋" w:hAnsi="仿宋" w:eastAsia="仿宋"/>
          <w:sz w:val="30"/>
          <w:szCs w:val="30"/>
        </w:rPr>
        <w:t>（二）项目资金情况分析</w:t>
      </w:r>
      <w:bookmarkEnd w:id="58"/>
    </w:p>
    <w:p>
      <w:pPr>
        <w:spacing w:before="10" w:after="10" w:line="600" w:lineRule="exact"/>
        <w:ind w:firstLine="602" w:firstLineChars="200"/>
        <w:rPr>
          <w:rFonts w:ascii="仿宋" w:hAnsi="仿宋" w:eastAsia="仿宋" w:cs="仿宋"/>
          <w:kern w:val="0"/>
          <w:szCs w:val="30"/>
        </w:rPr>
      </w:pPr>
      <w:r>
        <w:rPr>
          <w:rFonts w:hint="eastAsia" w:ascii="仿宋" w:hAnsi="仿宋" w:eastAsia="仿宋" w:cs="仿宋"/>
          <w:b/>
          <w:bCs/>
          <w:kern w:val="0"/>
          <w:szCs w:val="30"/>
        </w:rPr>
        <w:t>资金到位率：</w:t>
      </w:r>
      <w:r>
        <w:rPr>
          <w:rFonts w:hint="eastAsia" w:ascii="仿宋" w:hAnsi="仿宋" w:eastAsia="仿宋" w:cs="仿宋"/>
          <w:kern w:val="0"/>
          <w:szCs w:val="30"/>
        </w:rPr>
        <w:t>城市低保补助资金由县民政局每月5日前从“重庆市民政综合业务管理平台”导出当月资金拨付明细，通过县民政局财会室提交至县财政局审批，审批无误后由县财政局将资金拨付至各乡镇，各乡镇采取国库集中支付的方式将低保金直接支付到低保对象的个人账户。截至2019年底，县财政局累计拨付城市低保补助资金</w:t>
      </w:r>
      <w:r>
        <w:rPr>
          <w:rFonts w:hint="eastAsia" w:ascii="仿宋" w:hAnsi="仿宋" w:eastAsia="仿宋" w:cs="仿宋"/>
          <w:szCs w:val="30"/>
        </w:rPr>
        <w:t>1,430.3632万元</w:t>
      </w:r>
      <w:r>
        <w:rPr>
          <w:rFonts w:hint="eastAsia" w:ascii="仿宋" w:hAnsi="仿宋" w:eastAsia="仿宋" w:cs="仿宋"/>
          <w:kern w:val="0"/>
          <w:szCs w:val="30"/>
        </w:rPr>
        <w:t>至各乡镇</w:t>
      </w:r>
      <w:r>
        <w:rPr>
          <w:rFonts w:hint="eastAsia" w:ascii="仿宋" w:hAnsi="仿宋" w:eastAsia="仿宋" w:cs="仿宋"/>
          <w:szCs w:val="30"/>
        </w:rPr>
        <w:t>，各乡镇已全额拨付至城市低保对象，</w:t>
      </w:r>
      <w:r>
        <w:rPr>
          <w:rFonts w:hint="eastAsia" w:ascii="仿宋" w:hAnsi="仿宋" w:eastAsia="仿宋" w:cs="仿宋"/>
          <w:kern w:val="0"/>
          <w:szCs w:val="30"/>
        </w:rPr>
        <w:t>资金到位率为100%。</w:t>
      </w:r>
    </w:p>
    <w:p>
      <w:pPr>
        <w:spacing w:line="600" w:lineRule="exact"/>
        <w:ind w:firstLine="602" w:firstLineChars="200"/>
        <w:rPr>
          <w:rFonts w:ascii="仿宋" w:hAnsi="仿宋" w:eastAsia="仿宋"/>
          <w:bCs/>
          <w:kern w:val="0"/>
          <w:szCs w:val="30"/>
        </w:rPr>
      </w:pPr>
      <w:r>
        <w:rPr>
          <w:rFonts w:hint="eastAsia" w:ascii="仿宋" w:hAnsi="仿宋" w:eastAsia="仿宋"/>
          <w:b/>
          <w:kern w:val="0"/>
          <w:szCs w:val="30"/>
        </w:rPr>
        <w:t>财务制度健全性：</w:t>
      </w:r>
      <w:r>
        <w:rPr>
          <w:rFonts w:hint="eastAsia" w:ascii="仿宋" w:hAnsi="仿宋" w:eastAsia="仿宋"/>
          <w:bCs/>
          <w:kern w:val="0"/>
          <w:szCs w:val="30"/>
        </w:rPr>
        <w:t>项目资金管理主要参照渝民发〔2016〕80号文件进行管理，县民政局未针对城市低保补助资金或困难群众基本生活救助资金制定县级相关资金管理办法，资金管理制度健全性有待加强。</w:t>
      </w:r>
    </w:p>
    <w:p>
      <w:pPr>
        <w:spacing w:line="600" w:lineRule="exact"/>
        <w:ind w:firstLine="602" w:firstLineChars="200"/>
      </w:pPr>
      <w:r>
        <w:rPr>
          <w:rFonts w:hint="eastAsia" w:ascii="仿宋" w:hAnsi="仿宋" w:eastAsia="仿宋"/>
          <w:b/>
          <w:kern w:val="0"/>
          <w:szCs w:val="30"/>
        </w:rPr>
        <w:t>资金使用合规性：</w:t>
      </w:r>
      <w:r>
        <w:rPr>
          <w:rFonts w:hint="eastAsia" w:ascii="仿宋" w:hAnsi="仿宋" w:eastAsia="仿宋"/>
          <w:bCs/>
          <w:kern w:val="0"/>
          <w:szCs w:val="30"/>
        </w:rPr>
        <w:t>通过</w:t>
      </w:r>
      <w:r>
        <w:rPr>
          <w:rFonts w:hint="eastAsia" w:ascii="仿宋" w:hAnsi="仿宋" w:eastAsia="仿宋"/>
          <w:kern w:val="0"/>
          <w:szCs w:val="30"/>
        </w:rPr>
        <w:t>查看抽样乡镇财务资料，项目资金拨付有完整的审批程序和手续，资金支出符合项目预算批复规定用途，资金使用基本符合国家财经法规和财务管理制度以及有关专项资金管理办法的规定。</w:t>
      </w:r>
    </w:p>
    <w:p>
      <w:pPr>
        <w:spacing w:line="600" w:lineRule="exact"/>
        <w:ind w:firstLine="602" w:firstLineChars="200"/>
      </w:pPr>
      <w:r>
        <w:rPr>
          <w:rFonts w:hint="eastAsia" w:ascii="仿宋" w:hAnsi="仿宋" w:eastAsia="仿宋"/>
          <w:b/>
          <w:kern w:val="0"/>
          <w:szCs w:val="30"/>
        </w:rPr>
        <w:t>财务监控有效性：</w:t>
      </w:r>
      <w:r>
        <w:rPr>
          <w:rFonts w:hint="eastAsia" w:ascii="仿宋" w:hAnsi="仿宋" w:eastAsia="仿宋"/>
          <w:bCs/>
          <w:kern w:val="0"/>
          <w:szCs w:val="30"/>
        </w:rPr>
        <w:t>通过</w:t>
      </w:r>
      <w:r>
        <w:rPr>
          <w:rFonts w:hint="eastAsia" w:ascii="仿宋" w:hAnsi="仿宋" w:eastAsia="仿宋"/>
          <w:kern w:val="0"/>
          <w:szCs w:val="30"/>
        </w:rPr>
        <w:t>现场查看抽样乡镇财务资料，城市低保项目资金通过打卡方式发放至低保户银行卡中，资金支付均执行了有效的内部审批流程，暂未发现财务监控无效的情况。</w:t>
      </w:r>
    </w:p>
    <w:p>
      <w:pPr>
        <w:pStyle w:val="25"/>
        <w:spacing w:before="120" w:after="120" w:line="600" w:lineRule="exact"/>
        <w:ind w:firstLine="602" w:firstLineChars="200"/>
        <w:rPr>
          <w:rFonts w:ascii="仿宋" w:hAnsi="仿宋" w:eastAsia="仿宋"/>
          <w:sz w:val="30"/>
          <w:szCs w:val="30"/>
        </w:rPr>
      </w:pPr>
      <w:bookmarkStart w:id="62" w:name="_Toc25591"/>
      <w:r>
        <w:rPr>
          <w:rFonts w:hint="eastAsia" w:ascii="仿宋" w:hAnsi="仿宋" w:eastAsia="仿宋"/>
          <w:sz w:val="30"/>
          <w:szCs w:val="30"/>
        </w:rPr>
        <w:t>（三）项目</w:t>
      </w:r>
      <w:bookmarkEnd w:id="59"/>
      <w:bookmarkEnd w:id="60"/>
      <w:r>
        <w:rPr>
          <w:rFonts w:hint="eastAsia" w:ascii="仿宋" w:hAnsi="仿宋" w:eastAsia="仿宋"/>
          <w:sz w:val="30"/>
          <w:szCs w:val="30"/>
        </w:rPr>
        <w:t>实施情况分析</w:t>
      </w:r>
      <w:bookmarkEnd w:id="62"/>
    </w:p>
    <w:p>
      <w:pPr>
        <w:spacing w:line="600" w:lineRule="exact"/>
        <w:ind w:firstLine="602" w:firstLineChars="200"/>
        <w:rPr>
          <w:rFonts w:ascii="仿宋" w:hAnsi="仿宋" w:eastAsia="仿宋"/>
          <w:b/>
          <w:kern w:val="0"/>
          <w:szCs w:val="30"/>
        </w:rPr>
      </w:pPr>
      <w:r>
        <w:rPr>
          <w:rFonts w:hint="eastAsia" w:ascii="仿宋" w:hAnsi="仿宋" w:eastAsia="仿宋" w:cs="仿宋"/>
          <w:b/>
          <w:bCs/>
          <w:kern w:val="0"/>
          <w:szCs w:val="30"/>
        </w:rPr>
        <w:t>组织管理：</w:t>
      </w:r>
      <w:r>
        <w:rPr>
          <w:rFonts w:hint="eastAsia" w:ascii="仿宋" w:hAnsi="仿宋" w:eastAsia="仿宋" w:cs="仿宋"/>
          <w:szCs w:val="30"/>
        </w:rPr>
        <w:t>城市低保项目由县民政局负责牵头组织，各乡镇配合实施，县民政局及各乡镇均指定专人负责项目的实施，组织实施机构健全、构成合理、运转有效。但经现场查看，部分乡镇民政工作人员较少，对低保对象的续保、定期核查的日常管理较弱。</w:t>
      </w:r>
    </w:p>
    <w:p>
      <w:pPr>
        <w:spacing w:line="600" w:lineRule="exact"/>
        <w:ind w:firstLine="602" w:firstLineChars="200"/>
        <w:jc w:val="left"/>
        <w:rPr>
          <w:rFonts w:ascii="仿宋" w:hAnsi="仿宋" w:eastAsia="仿宋" w:cs="仿宋"/>
          <w:b/>
          <w:bCs/>
          <w:kern w:val="0"/>
          <w:szCs w:val="30"/>
        </w:rPr>
      </w:pPr>
      <w:r>
        <w:rPr>
          <w:rFonts w:hint="eastAsia" w:ascii="仿宋" w:hAnsi="仿宋" w:eastAsia="仿宋" w:cs="仿宋"/>
          <w:b/>
          <w:kern w:val="0"/>
          <w:szCs w:val="30"/>
        </w:rPr>
        <w:t>管理制度健全性：</w:t>
      </w:r>
      <w:r>
        <w:rPr>
          <w:rFonts w:hint="eastAsia" w:ascii="仿宋" w:hAnsi="仿宋" w:eastAsia="仿宋" w:cs="仿宋"/>
          <w:bCs/>
          <w:kern w:val="0"/>
          <w:szCs w:val="30"/>
        </w:rPr>
        <w:t>项目的实施及管理主要按照</w:t>
      </w:r>
      <w:r>
        <w:rPr>
          <w:rFonts w:hint="eastAsia" w:ascii="仿宋" w:hAnsi="仿宋" w:eastAsia="仿宋" w:cs="仿宋"/>
          <w:szCs w:val="30"/>
        </w:rPr>
        <w:t>渝民发〔2016〕80号、渝府办发〔2017〕33号文件</w:t>
      </w:r>
      <w:r>
        <w:rPr>
          <w:rFonts w:hint="eastAsia" w:ascii="仿宋" w:hAnsi="仿宋" w:eastAsia="仿宋" w:cs="仿宋"/>
          <w:bCs/>
          <w:kern w:val="0"/>
          <w:szCs w:val="30"/>
        </w:rPr>
        <w:t>相关规定进行，县民政局未针对城市低保项目制定县级相关管理办法，管理制度健全性有待加强。</w:t>
      </w:r>
    </w:p>
    <w:p>
      <w:pPr>
        <w:spacing w:line="600" w:lineRule="exact"/>
        <w:ind w:firstLine="602" w:firstLineChars="200"/>
        <w:rPr>
          <w:rFonts w:ascii="仿宋" w:hAnsi="仿宋" w:eastAsia="仿宋" w:cs="仿宋"/>
          <w:kern w:val="0"/>
          <w:szCs w:val="30"/>
        </w:rPr>
      </w:pPr>
      <w:r>
        <w:rPr>
          <w:rFonts w:hint="eastAsia" w:ascii="仿宋" w:hAnsi="仿宋" w:eastAsia="仿宋" w:cs="仿宋"/>
          <w:b/>
          <w:bCs/>
          <w:kern w:val="0"/>
          <w:szCs w:val="30"/>
        </w:rPr>
        <w:t>制度执行有效性：</w:t>
      </w:r>
      <w:r>
        <w:rPr>
          <w:rFonts w:hint="eastAsia" w:ascii="仿宋" w:hAnsi="仿宋" w:eastAsia="仿宋" w:cs="仿宋"/>
          <w:kern w:val="0"/>
          <w:szCs w:val="30"/>
        </w:rPr>
        <w:t>通过查看相关项目资料</w:t>
      </w:r>
      <w:r>
        <w:rPr>
          <w:rFonts w:hint="eastAsia" w:ascii="仿宋" w:hAnsi="仿宋" w:eastAsia="仿宋" w:cs="仿宋"/>
          <w:b/>
          <w:bCs/>
          <w:kern w:val="0"/>
          <w:szCs w:val="30"/>
        </w:rPr>
        <w:t>，</w:t>
      </w:r>
      <w:r>
        <w:rPr>
          <w:rFonts w:hint="eastAsia" w:ascii="仿宋" w:hAnsi="仿宋" w:eastAsia="仿宋" w:cs="仿宋"/>
          <w:kern w:val="0"/>
          <w:szCs w:val="30"/>
        </w:rPr>
        <w:t>项目的实施基本符合相关法律法规和业务管理规定，但经现场查看仍存在以下问题：</w:t>
      </w:r>
      <w:r>
        <w:rPr>
          <w:rFonts w:hint="eastAsia" w:ascii="仿宋" w:hAnsi="仿宋" w:eastAsia="仿宋" w:cs="仿宋"/>
          <w:b/>
          <w:bCs/>
          <w:kern w:val="0"/>
          <w:szCs w:val="30"/>
        </w:rPr>
        <w:t>一是</w:t>
      </w:r>
      <w:r>
        <w:rPr>
          <w:rFonts w:hint="eastAsia" w:ascii="仿宋" w:hAnsi="仿宋" w:eastAsia="仿宋" w:cs="仿宋"/>
          <w:kern w:val="0"/>
          <w:szCs w:val="30"/>
        </w:rPr>
        <w:t>渝民发〔2016〕80号文件规定“最低生活保障审核审批手续应当自受理申请之日起30个工</w:t>
      </w:r>
      <w:r>
        <w:rPr>
          <w:rFonts w:hint="eastAsia"/>
        </w:rPr>
        <w:t>作</w:t>
      </w:r>
      <w:r>
        <w:rPr>
          <w:rFonts w:hint="eastAsia" w:ascii="仿宋" w:hAnsi="仿宋" w:eastAsia="仿宋" w:cs="仿宋"/>
          <w:kern w:val="0"/>
          <w:szCs w:val="30"/>
        </w:rPr>
        <w:t>日内办结（不包括群众评议和公示期限）”，但通过现场查看一户一档资料，发现大部分乡镇城市低保户审批时间大于30个工作日，如宁厂镇、宁河街道</w:t>
      </w:r>
      <w:r>
        <w:rPr>
          <w:rFonts w:hint="eastAsia"/>
        </w:rPr>
        <w:t>、</w:t>
      </w:r>
      <w:r>
        <w:rPr>
          <w:rFonts w:hint="eastAsia" w:ascii="仿宋" w:hAnsi="仿宋" w:eastAsia="仿宋" w:cs="仿宋"/>
          <w:kern w:val="0"/>
          <w:szCs w:val="30"/>
        </w:rPr>
        <w:t>柏杨街道。</w:t>
      </w:r>
      <w:r>
        <w:rPr>
          <w:rFonts w:hint="eastAsia" w:ascii="仿宋" w:hAnsi="仿宋" w:eastAsia="仿宋" w:cs="仿宋"/>
          <w:b/>
          <w:bCs/>
          <w:kern w:val="0"/>
          <w:szCs w:val="30"/>
        </w:rPr>
        <w:t>二是</w:t>
      </w:r>
      <w:r>
        <w:rPr>
          <w:rFonts w:hint="eastAsia" w:ascii="仿宋" w:hAnsi="仿宋" w:eastAsia="仿宋" w:cs="仿宋"/>
          <w:kern w:val="0"/>
          <w:szCs w:val="30"/>
        </w:rPr>
        <w:t>渝民发〔2016〕80号文件规定“区县（自治县）民政局应当根据材料审查和入户抽查情况，召开由分管局长主持，低保科（中心）科长（主任）和低保经办人员参加的评审会讨论审定，形成审批意见，并由参加评审的人员签字确认”，但县民政局未提供评审会议等过程资料。</w:t>
      </w:r>
      <w:r>
        <w:rPr>
          <w:rFonts w:hint="eastAsia" w:ascii="仿宋" w:hAnsi="仿宋" w:eastAsia="仿宋" w:cs="仿宋"/>
          <w:b/>
          <w:bCs/>
        </w:rPr>
        <w:t>三是</w:t>
      </w:r>
      <w:r>
        <w:rPr>
          <w:rFonts w:hint="eastAsia" w:ascii="仿宋" w:hAnsi="仿宋" w:eastAsia="仿宋" w:cs="仿宋"/>
          <w:kern w:val="0"/>
          <w:szCs w:val="30"/>
        </w:rPr>
        <w:t>渝民发〔2016〕80号文件规定“</w:t>
      </w:r>
      <w:r>
        <w:rPr>
          <w:rFonts w:ascii="仿宋" w:hAnsi="仿宋" w:eastAsia="仿宋" w:cs="仿宋"/>
          <w:kern w:val="0"/>
          <w:szCs w:val="30"/>
        </w:rPr>
        <w:t>城乡低保家庭A类每年、B类每半年、C类每季度向乡（镇）人民政府、街道办事处书面提出续保申请。家庭成员提出续保申请有困难的，可以</w:t>
      </w:r>
      <w:r>
        <w:t>委</w:t>
      </w:r>
      <w:r>
        <w:rPr>
          <w:rFonts w:ascii="仿宋" w:hAnsi="仿宋" w:eastAsia="仿宋" w:cs="仿宋"/>
          <w:kern w:val="0"/>
          <w:szCs w:val="30"/>
        </w:rPr>
        <w:t>托其代理人或村民委员会、居民委员会代为提出续保申请。无特殊情况未提出续保申请的，视为自动退出低保</w:t>
      </w:r>
      <w:r>
        <w:rPr>
          <w:rFonts w:hint="eastAsia" w:ascii="仿宋" w:hAnsi="仿宋" w:eastAsia="仿宋" w:cs="仿宋"/>
          <w:kern w:val="0"/>
          <w:szCs w:val="30"/>
        </w:rPr>
        <w:t>”，但通过查看档案资料和现场了解，各乡镇对续保管理较弱，低保家庭未提交续保申请，但未自动退出低保。</w:t>
      </w:r>
    </w:p>
    <w:p>
      <w:pPr>
        <w:spacing w:line="600" w:lineRule="exact"/>
        <w:ind w:firstLine="602" w:firstLineChars="200"/>
        <w:rPr>
          <w:rFonts w:ascii="仿宋" w:hAnsi="仿宋" w:eastAsia="仿宋"/>
          <w:bCs/>
          <w:kern w:val="0"/>
          <w:szCs w:val="30"/>
        </w:rPr>
      </w:pPr>
      <w:r>
        <w:rPr>
          <w:rFonts w:hint="eastAsia" w:ascii="仿宋" w:hAnsi="仿宋" w:eastAsia="仿宋"/>
          <w:b/>
          <w:kern w:val="0"/>
          <w:szCs w:val="30"/>
        </w:rPr>
        <w:t>档案管理：</w:t>
      </w:r>
      <w:r>
        <w:rPr>
          <w:rFonts w:hint="eastAsia" w:ascii="仿宋" w:hAnsi="仿宋" w:eastAsia="仿宋"/>
          <w:bCs/>
          <w:kern w:val="0"/>
          <w:szCs w:val="30"/>
        </w:rPr>
        <w:t>根据现场查看抽样乡镇一户一档资料情况，各乡镇低保申请、审批、评议、公示等档案资料基本健全。但现场发现：部分乡镇档案资料中缺少评议资料，如宁厂镇、宁河街道；上磺镇评议资料中评议小组人员未达到渝民发〔2016〕80号中规定的7—9人，档案管理规范性有待提高。</w:t>
      </w:r>
    </w:p>
    <w:p>
      <w:pPr>
        <w:spacing w:line="600" w:lineRule="exact"/>
        <w:ind w:firstLine="602" w:firstLineChars="200"/>
        <w:rPr>
          <w:rFonts w:ascii="仿宋" w:hAnsi="仿宋" w:eastAsia="仿宋"/>
          <w:bCs/>
          <w:kern w:val="0"/>
          <w:szCs w:val="30"/>
        </w:rPr>
      </w:pPr>
      <w:r>
        <w:rPr>
          <w:rFonts w:hint="eastAsia" w:ascii="仿宋" w:hAnsi="仿宋" w:eastAsia="仿宋"/>
          <w:b/>
          <w:kern w:val="0"/>
          <w:szCs w:val="30"/>
        </w:rPr>
        <w:t>项目质量可控性：</w:t>
      </w:r>
      <w:r>
        <w:rPr>
          <w:rFonts w:hint="eastAsia" w:ascii="仿宋" w:hAnsi="仿宋" w:eastAsia="仿宋"/>
          <w:bCs/>
          <w:kern w:val="0"/>
          <w:szCs w:val="30"/>
        </w:rPr>
        <w:t>根据现场查看情况，城市低保项目补助对象、补助金额基本可控。</w:t>
      </w:r>
    </w:p>
    <w:p>
      <w:pPr>
        <w:spacing w:line="600" w:lineRule="exact"/>
        <w:ind w:firstLine="602" w:firstLineChars="200"/>
        <w:rPr>
          <w:rFonts w:ascii="仿宋" w:hAnsi="仿宋" w:eastAsia="仿宋"/>
          <w:bCs/>
          <w:kern w:val="0"/>
          <w:szCs w:val="30"/>
        </w:rPr>
      </w:pPr>
      <w:r>
        <w:rPr>
          <w:rFonts w:hint="eastAsia" w:ascii="仿宋" w:hAnsi="仿宋" w:eastAsia="仿宋"/>
          <w:b/>
          <w:kern w:val="0"/>
          <w:szCs w:val="30"/>
        </w:rPr>
        <w:t>一是</w:t>
      </w:r>
      <w:r>
        <w:rPr>
          <w:rFonts w:hint="eastAsia" w:ascii="仿宋" w:hAnsi="仿宋" w:eastAsia="仿宋"/>
          <w:bCs/>
          <w:kern w:val="0"/>
          <w:szCs w:val="30"/>
        </w:rPr>
        <w:t>县民政局主要按照渝府办</w:t>
      </w:r>
      <w:r>
        <w:rPr>
          <w:rFonts w:hint="eastAsia"/>
        </w:rPr>
        <w:t>发〔2017〕33号、渝民发〔2016〕80号</w:t>
      </w:r>
      <w:r>
        <w:rPr>
          <w:rFonts w:hint="eastAsia" w:ascii="仿宋" w:hAnsi="仿宋" w:eastAsia="仿宋"/>
          <w:bCs/>
          <w:kern w:val="0"/>
          <w:szCs w:val="30"/>
        </w:rPr>
        <w:t>文件进行低保人员身份审核及认定，通过提出申请、调查核实、群众评议、乡镇审核、县民政局审批的程序确定人员资格。在调查核实环节，县民政局通过“社会救助家庭经济状况核查认定信息管理系统”对申请人员进行信息比对，获取申请人及其家庭成员的家庭收入、车辆、房屋、工商、税务等相关信息，并出具核查认定报告。低保人员认定质量基本可控。但现场了解，由于人员配置不够等原因，大多数乡镇未按规定开展核查工作，不符合渝民发〔2016〕80号文件中“对A类家庭每年复核一次；对B类家庭每半年复核一次；对C类城市低保家庭原则上每月核查一次，农村低保家庭每季度核查一次”的规定，项目质量可控性有待提高。</w:t>
      </w:r>
    </w:p>
    <w:p>
      <w:pPr>
        <w:spacing w:line="600" w:lineRule="exact"/>
        <w:ind w:firstLine="602" w:firstLineChars="200"/>
      </w:pPr>
      <w:r>
        <w:rPr>
          <w:rFonts w:hint="eastAsia"/>
          <w:b/>
          <w:bCs/>
        </w:rPr>
        <w:t>二是</w:t>
      </w:r>
      <w:r>
        <w:rPr>
          <w:rFonts w:hint="eastAsia" w:ascii="仿宋" w:hAnsi="仿宋" w:eastAsia="仿宋"/>
          <w:bCs/>
          <w:kern w:val="0"/>
          <w:szCs w:val="30"/>
        </w:rPr>
        <w:t>县民政局通过“重庆市民政综合业务管理平台”对低保人员审核审批、动态管理、信息查询等进行统一管理。由乡镇民政人员将申请人员信息录入平台后，县民政局通过各乡镇提交的纸质资料及平台信息进行审核审批、日常管理等。人员补助金额由平台根据最低生活保障标准、低保对象家庭收入等自动计算，县</w:t>
      </w:r>
      <w:r>
        <w:rPr>
          <w:rFonts w:hint="eastAsia" w:ascii="仿宋" w:hAnsi="仿宋" w:eastAsia="仿宋" w:cs="仿宋"/>
          <w:kern w:val="0"/>
          <w:szCs w:val="30"/>
        </w:rPr>
        <w:t>民政局每月5日前从平台导出当月资金拨付明细，通过县民政局财会室提交至县财政局审批，审批无误后由县财政局将资金拨付至各乡镇，补助金额基本可控</w:t>
      </w:r>
      <w:r>
        <w:rPr>
          <w:rFonts w:hint="eastAsia" w:ascii="仿宋" w:hAnsi="仿宋" w:eastAsia="仿宋"/>
          <w:bCs/>
          <w:kern w:val="0"/>
          <w:szCs w:val="30"/>
        </w:rPr>
        <w:t>。但平台中录入的家庭收入主要为社区（村）工作人员通过入户、走访等方式调查获取，而实际上，人均纯收入的计算程序复杂、项目繁多，仅靠现场了解及估计可能与实际情况存在较大差异。</w:t>
      </w:r>
    </w:p>
    <w:bookmarkEnd w:id="61"/>
    <w:p>
      <w:pPr>
        <w:pStyle w:val="25"/>
        <w:spacing w:beforeLines="0" w:afterLines="0" w:line="600" w:lineRule="exact"/>
        <w:ind w:firstLine="602" w:firstLineChars="200"/>
        <w:rPr>
          <w:rFonts w:ascii="仿宋" w:hAnsi="仿宋" w:eastAsia="仿宋"/>
          <w:sz w:val="30"/>
          <w:szCs w:val="30"/>
        </w:rPr>
      </w:pPr>
      <w:bookmarkStart w:id="63" w:name="_Toc20756"/>
      <w:r>
        <w:rPr>
          <w:rFonts w:hint="eastAsia" w:ascii="仿宋" w:hAnsi="仿宋" w:eastAsia="仿宋"/>
          <w:sz w:val="30"/>
          <w:szCs w:val="30"/>
        </w:rPr>
        <w:t>（</w:t>
      </w:r>
      <w:r>
        <w:rPr>
          <w:rFonts w:hint="eastAsia" w:ascii="仿宋" w:hAnsi="仿宋" w:eastAsia="仿宋"/>
          <w:sz w:val="30"/>
          <w:szCs w:val="30"/>
          <w:lang w:eastAsia="zh-CN"/>
        </w:rPr>
        <w:t>四</w:t>
      </w:r>
      <w:r>
        <w:rPr>
          <w:rFonts w:hint="eastAsia" w:ascii="仿宋" w:hAnsi="仿宋" w:eastAsia="仿宋"/>
          <w:sz w:val="30"/>
          <w:szCs w:val="30"/>
        </w:rPr>
        <w:t>）</w:t>
      </w:r>
      <w:bookmarkEnd w:id="49"/>
      <w:bookmarkEnd w:id="50"/>
      <w:bookmarkEnd w:id="51"/>
      <w:r>
        <w:rPr>
          <w:rFonts w:hint="eastAsia" w:ascii="仿宋" w:hAnsi="仿宋" w:eastAsia="仿宋"/>
          <w:sz w:val="30"/>
          <w:szCs w:val="30"/>
        </w:rPr>
        <w:t>项目</w:t>
      </w:r>
      <w:bookmarkEnd w:id="52"/>
      <w:bookmarkEnd w:id="53"/>
      <w:r>
        <w:rPr>
          <w:rFonts w:hint="eastAsia" w:ascii="仿宋" w:hAnsi="仿宋" w:eastAsia="仿宋"/>
          <w:sz w:val="30"/>
          <w:szCs w:val="30"/>
        </w:rPr>
        <w:t>绩效情况分析</w:t>
      </w:r>
      <w:bookmarkEnd w:id="63"/>
    </w:p>
    <w:p>
      <w:pPr>
        <w:spacing w:before="50" w:after="50" w:line="600" w:lineRule="exact"/>
        <w:ind w:firstLine="602" w:firstLineChars="200"/>
        <w:rPr>
          <w:rFonts w:ascii="仿宋" w:hAnsi="仿宋" w:eastAsia="仿宋" w:cs="仿宋"/>
          <w:b/>
          <w:szCs w:val="30"/>
        </w:rPr>
      </w:pPr>
      <w:bookmarkStart w:id="64" w:name="_Toc17587249"/>
      <w:bookmarkStart w:id="65" w:name="_Toc24516"/>
      <w:r>
        <w:rPr>
          <w:rFonts w:hint="eastAsia" w:ascii="仿宋" w:hAnsi="仿宋" w:eastAsia="仿宋" w:cs="仿宋"/>
          <w:b/>
          <w:szCs w:val="30"/>
        </w:rPr>
        <w:t>1.项目完成情况分析</w:t>
      </w:r>
    </w:p>
    <w:p>
      <w:pPr>
        <w:pStyle w:val="5"/>
        <w:spacing w:after="0" w:line="600" w:lineRule="exact"/>
        <w:ind w:firstLine="602" w:firstLineChars="200"/>
        <w:rPr>
          <w:rFonts w:ascii="仿宋" w:hAnsi="仿宋" w:eastAsia="仿宋" w:cs="仿宋"/>
          <w:kern w:val="0"/>
          <w:sz w:val="30"/>
          <w:szCs w:val="30"/>
        </w:rPr>
      </w:pPr>
      <w:r>
        <w:rPr>
          <w:rFonts w:hint="eastAsia" w:ascii="仿宋" w:hAnsi="仿宋" w:eastAsia="仿宋" w:cs="仿宋"/>
          <w:b/>
          <w:bCs/>
          <w:kern w:val="0"/>
          <w:sz w:val="30"/>
          <w:szCs w:val="30"/>
        </w:rPr>
        <w:t>认定准确率：</w:t>
      </w:r>
      <w:r>
        <w:rPr>
          <w:rFonts w:hint="eastAsia" w:ascii="仿宋" w:hAnsi="仿宋" w:eastAsia="仿宋" w:cs="仿宋"/>
          <w:kern w:val="0"/>
          <w:sz w:val="30"/>
          <w:szCs w:val="30"/>
        </w:rPr>
        <w:t>县民政局主要按照渝府办发〔2017〕33号、渝民发〔2016〕80号文件，通过提出申请、调查核实、群众评议、乡镇审核、县民政局审批的程序确定人员资格。根据县民政局提供的2019年城市低保资金拨付明细及相关资料，截至2019年底，城市低保项目共计补助低保家庭21798户，补助人次34254人次。通过查看资料及现场走访、电话访问等，未发现应保未保、应退未退的情况，认定准确率100%。</w:t>
      </w:r>
    </w:p>
    <w:p>
      <w:pPr>
        <w:spacing w:line="600" w:lineRule="exact"/>
        <w:ind w:firstLine="602" w:firstLineChars="200"/>
        <w:rPr>
          <w:rFonts w:ascii="仿宋" w:hAnsi="仿宋" w:eastAsia="仿宋"/>
          <w:bCs/>
          <w:kern w:val="0"/>
          <w:szCs w:val="30"/>
        </w:rPr>
      </w:pPr>
      <w:r>
        <w:rPr>
          <w:rFonts w:hint="eastAsia" w:ascii="仿宋" w:hAnsi="仿宋" w:eastAsia="仿宋"/>
          <w:b/>
          <w:kern w:val="0"/>
          <w:szCs w:val="30"/>
        </w:rPr>
        <w:t>补差准确率：</w:t>
      </w:r>
      <w:r>
        <w:rPr>
          <w:rFonts w:hint="eastAsia" w:ascii="仿宋" w:hAnsi="仿宋" w:eastAsia="仿宋"/>
          <w:bCs/>
          <w:kern w:val="0"/>
          <w:szCs w:val="30"/>
        </w:rPr>
        <w:t>城市低保补助资金用于对家庭月人均收入低于最低生活保障标准的人员按照最低生活保障标准进行差额补助，补助金额由平台根据最低生活保障标准、低保对象家庭收入等自动计算。经查看项目档案资料和资金拨付资料，未发现补差不准确的情况，补差合格率100%。</w:t>
      </w:r>
    </w:p>
    <w:p>
      <w:pPr>
        <w:spacing w:beforeLines="50" w:afterLines="50" w:line="600" w:lineRule="exact"/>
        <w:ind w:firstLine="602" w:firstLineChars="200"/>
        <w:rPr>
          <w:rFonts w:ascii="仿宋" w:hAnsi="仿宋" w:eastAsia="仿宋"/>
          <w:bCs/>
          <w:kern w:val="0"/>
          <w:szCs w:val="30"/>
        </w:rPr>
      </w:pPr>
      <w:r>
        <w:rPr>
          <w:rFonts w:hint="eastAsia" w:ascii="仿宋" w:hAnsi="仿宋" w:eastAsia="仿宋"/>
          <w:b/>
          <w:kern w:val="0"/>
          <w:szCs w:val="30"/>
        </w:rPr>
        <w:t>补助及时率：</w:t>
      </w:r>
      <w:bookmarkEnd w:id="64"/>
      <w:bookmarkEnd w:id="65"/>
      <w:bookmarkStart w:id="66" w:name="_Toc20210"/>
      <w:bookmarkStart w:id="67" w:name="_Toc917"/>
      <w:bookmarkStart w:id="68" w:name="_Toc18790"/>
      <w:bookmarkStart w:id="69" w:name="_Toc31293"/>
      <w:bookmarkStart w:id="70" w:name="_Toc313641002"/>
      <w:bookmarkStart w:id="71" w:name="_Toc13378"/>
      <w:bookmarkStart w:id="72" w:name="_Toc415756500"/>
      <w:r>
        <w:rPr>
          <w:rFonts w:hint="eastAsia" w:ascii="仿宋" w:hAnsi="仿宋" w:eastAsia="仿宋"/>
          <w:bCs/>
          <w:kern w:val="0"/>
          <w:szCs w:val="30"/>
        </w:rPr>
        <w:t>按照渝民发〔2016〕80号文件要求，“低保金从批准的当月起按月发放。”通过现场查看抽样乡镇资金拨付情况，城市低保补助资金均按要求拨付至低保对象，但巫溪县低保金均从批准次月起发放，不符合文件要求（据了解，原因系平台自动从审批通过下月起开始纳入低保发放）；且大部分乡镇在2019年10月以前按季度发放，补助资金拨付略有滞后。</w:t>
      </w:r>
    </w:p>
    <w:bookmarkEnd w:id="66"/>
    <w:bookmarkEnd w:id="67"/>
    <w:bookmarkEnd w:id="68"/>
    <w:bookmarkEnd w:id="69"/>
    <w:p>
      <w:pPr>
        <w:spacing w:beforeLines="50" w:afterLines="50" w:line="600" w:lineRule="exact"/>
        <w:ind w:firstLine="602" w:firstLineChars="200"/>
        <w:rPr>
          <w:rFonts w:ascii="仿宋" w:hAnsi="仿宋" w:eastAsia="仿宋"/>
          <w:b/>
          <w:bCs/>
          <w:kern w:val="0"/>
          <w:szCs w:val="30"/>
          <w:highlight w:val="yellow"/>
        </w:rPr>
      </w:pPr>
      <w:r>
        <w:rPr>
          <w:rFonts w:hint="eastAsia" w:ascii="仿宋" w:hAnsi="仿宋" w:eastAsia="仿宋" w:cs="仿宋"/>
          <w:b/>
          <w:szCs w:val="30"/>
        </w:rPr>
        <w:t>2.项目的效益性分析</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（1）经济效益</w:t>
      </w:r>
    </w:p>
    <w:p>
      <w:pPr>
        <w:spacing w:beforeLines="50" w:afterLines="50" w:line="600" w:lineRule="exact"/>
        <w:ind w:firstLine="600" w:firstLineChars="200"/>
        <w:rPr>
          <w:rFonts w:ascii="仿宋" w:hAnsi="仿宋" w:eastAsia="仿宋"/>
          <w:bCs/>
          <w:kern w:val="0"/>
          <w:szCs w:val="30"/>
        </w:rPr>
      </w:pPr>
      <w:r>
        <w:rPr>
          <w:rFonts w:hint="eastAsia" w:ascii="仿宋" w:hAnsi="仿宋" w:eastAsia="仿宋"/>
          <w:bCs/>
          <w:kern w:val="0"/>
          <w:szCs w:val="30"/>
        </w:rPr>
        <w:t>城乡低保制度作为一种重要的贫困性社会救助制度，其自身的功能主要体现在保障城市贫困人口的最基本生活、解决其生存危机方面。城市低保项目的实施，通过资源再次分配，逐渐消除两极分化，向贫困群众提供基本生活费用，较为有效地缓解了低保家庭经济压力。大部分受调查家庭表示，最低生活保障资金的发放对其生活质量的改善和提高带来了显著的作用。</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（2）社会效益</w:t>
      </w:r>
    </w:p>
    <w:p>
      <w:pPr>
        <w:spacing w:line="600" w:lineRule="exact"/>
        <w:ind w:firstLine="600" w:firstLineChars="200"/>
        <w:rPr>
          <w:rFonts w:ascii="仿宋" w:hAnsi="仿宋" w:eastAsia="仿宋"/>
          <w:kern w:val="0"/>
          <w:szCs w:val="30"/>
        </w:rPr>
      </w:pPr>
      <w:r>
        <w:rPr>
          <w:rFonts w:hint="eastAsia" w:ascii="仿宋" w:hAnsi="仿宋" w:eastAsia="仿宋"/>
          <w:bCs/>
          <w:kern w:val="0"/>
          <w:szCs w:val="30"/>
        </w:rPr>
        <w:t>城市最低生活保障金的发放，缓解了城市低保家庭的生活困难，改善了城市低保家庭的生存条件，筑牢了民生保障底线，让困难群众感受到党和国家的温暖，对维护社会稳定、促进社会和谐发挥了至关重要的作用。同时城市低保项目坚持“入保必核”的原则，充分利用“社会救助家庭经济状况核查认定信息管理系统”对申请对象的信息进行核查，严格审核其家庭房产信息、车辆信息、纳税信息、社保信息、工商信息和家庭“隐性”收入等，全面把好低保“入口关”，提高保障对象的准确性，切实做到精准救助。依托专业系统平台，全面提升民生工作规范化、精准化、便利化水平，将城市低保工作做到公平公正。</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（3）可持续影响</w:t>
      </w:r>
    </w:p>
    <w:p>
      <w:pPr>
        <w:spacing w:line="600" w:lineRule="exact"/>
        <w:ind w:firstLine="600" w:firstLineChars="200"/>
        <w:rPr>
          <w:rFonts w:ascii="仿宋" w:hAnsi="仿宋" w:eastAsia="仿宋"/>
          <w:b/>
          <w:bCs/>
          <w:kern w:val="0"/>
          <w:szCs w:val="30"/>
        </w:rPr>
      </w:pPr>
      <w:r>
        <w:rPr>
          <w:rFonts w:hint="eastAsia" w:ascii="仿宋" w:hAnsi="仿宋" w:eastAsia="仿宋"/>
          <w:bCs/>
          <w:kern w:val="0"/>
          <w:szCs w:val="30"/>
        </w:rPr>
        <w:t>城市低保作为一项重要的民生工程，有助于稳定实现城市低保人口“两不愁”。根据渝民〔2019〕70号文件，城市低保标准持续提高，对困难群众的基本生活进行持续性保障。同时城市低保项目资金来源主要为中央和市级财政专项资金，财政资金的持续投入为项目提供了稳定的资金保障。</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（4）满意度</w:t>
      </w:r>
    </w:p>
    <w:p>
      <w:pPr>
        <w:spacing w:line="600" w:lineRule="exact"/>
        <w:ind w:firstLine="600" w:firstLineChars="200"/>
        <w:rPr>
          <w:rFonts w:ascii="仿宋" w:hAnsi="仿宋" w:eastAsia="仿宋"/>
          <w:szCs w:val="30"/>
        </w:rPr>
      </w:pPr>
      <w:r>
        <w:rPr>
          <w:rFonts w:hint="eastAsia" w:ascii="仿宋" w:hAnsi="仿宋" w:eastAsia="仿宋" w:cs="仿宋"/>
          <w:szCs w:val="30"/>
        </w:rPr>
        <w:t>本次评价主要以实地调查和电话调查方式为主，实地调查城市低保人员30户，抽样拨打城市低保人员有效电话107个。经统计，项目综合满意度为97.5%。</w:t>
      </w:r>
      <w:r>
        <w:rPr>
          <w:rFonts w:hint="eastAsia" w:ascii="仿宋" w:hAnsi="仿宋" w:eastAsia="仿宋"/>
          <w:szCs w:val="30"/>
        </w:rPr>
        <w:t>不满意的主要原因为：部分低保对象为老年人，对每月发放金额不清楚，对所在乡镇项目支出公示不了解。</w:t>
      </w:r>
    </w:p>
    <w:p>
      <w:pPr>
        <w:spacing w:line="600" w:lineRule="exact"/>
        <w:ind w:firstLine="602" w:firstLineChars="200"/>
        <w:jc w:val="center"/>
        <w:rPr>
          <w:rFonts w:ascii="仿宋" w:hAnsi="仿宋" w:eastAsia="仿宋"/>
          <w:b/>
          <w:szCs w:val="30"/>
        </w:rPr>
      </w:pPr>
      <w:r>
        <w:rPr>
          <w:rFonts w:hint="eastAsia" w:ascii="仿宋" w:hAnsi="仿宋" w:eastAsia="仿宋" w:cs="仿宋"/>
          <w:b/>
          <w:color w:val="000000"/>
          <w:kern w:val="0"/>
          <w:szCs w:val="30"/>
        </w:rPr>
        <w:t>城市低保项目满意度调查情况表</w:t>
      </w:r>
    </w:p>
    <w:tbl>
      <w:tblPr>
        <w:tblStyle w:val="12"/>
        <w:tblW w:w="6949" w:type="dxa"/>
        <w:jc w:val="center"/>
        <w:tblLayout w:type="fixed"/>
        <w:tblCellMar>
          <w:top w:w="0" w:type="dxa"/>
          <w:left w:w="0" w:type="dxa"/>
          <w:bottom w:w="0" w:type="dxa"/>
          <w:right w:w="0" w:type="dxa"/>
        </w:tblCellMar>
      </w:tblPr>
      <w:tblGrid>
        <w:gridCol w:w="765"/>
        <w:gridCol w:w="2649"/>
        <w:gridCol w:w="2580"/>
        <w:gridCol w:w="955"/>
      </w:tblGrid>
      <w:tr>
        <w:tblPrEx>
          <w:tblCellMar>
            <w:top w:w="0" w:type="dxa"/>
            <w:left w:w="0" w:type="dxa"/>
            <w:bottom w:w="0" w:type="dxa"/>
            <w:right w:w="0" w:type="dxa"/>
          </w:tblCellMar>
        </w:tblPrEx>
        <w:trPr>
          <w:trHeight w:val="288" w:hRule="atLeast"/>
          <w:tblHeader/>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 xml:space="preserve">类 </w:t>
            </w:r>
            <w:r>
              <w:rPr>
                <w:rStyle w:val="65"/>
                <w:rFonts w:hint="default"/>
                <w:sz w:val="24"/>
                <w:szCs w:val="24"/>
              </w:rPr>
              <w:t xml:space="preserve"> 型</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满意度</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备注</w:t>
            </w: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项目的了解情况</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对家庭收入的影响</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10</w:t>
            </w:r>
            <w:r>
              <w:rPr>
                <w:rFonts w:ascii="仿宋" w:hAnsi="仿宋" w:eastAsia="仿宋" w:cs="仿宋"/>
                <w:color w:val="000000"/>
                <w:kern w:val="0"/>
                <w:sz w:val="24"/>
              </w:rPr>
              <w:t>0</w:t>
            </w:r>
            <w:r>
              <w:rPr>
                <w:rFonts w:hint="eastAsia" w:ascii="仿宋" w:hAnsi="仿宋" w:eastAsia="仿宋" w:cs="仿宋"/>
                <w:color w:val="000000"/>
                <w:kern w:val="0"/>
                <w:sz w:val="24"/>
              </w:rPr>
              <w:t>%</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302"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kern w:val="0"/>
                <w:sz w:val="24"/>
              </w:rPr>
              <w:t>项目支出公示度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95%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center"/>
              <w:rPr>
                <w:rFonts w:ascii="仿宋" w:hAnsi="仿宋" w:eastAsia="仿宋" w:cs="仿宋"/>
                <w:color w:val="000000"/>
                <w:sz w:val="24"/>
              </w:rPr>
            </w:pPr>
            <w:r>
              <w:rPr>
                <w:rFonts w:hint="eastAsia" w:ascii="仿宋" w:hAnsi="仿宋" w:eastAsia="仿宋" w:cs="仿宋"/>
                <w:color w:val="000000"/>
                <w:sz w:val="24"/>
              </w:rPr>
              <w:t>对项目效益的满意度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100%</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仿宋" w:hAnsi="仿宋" w:eastAsia="仿宋" w:cs="仿宋"/>
                <w:color w:val="000000"/>
                <w:kern w:val="0"/>
                <w:sz w:val="24"/>
              </w:rPr>
            </w:pPr>
          </w:p>
        </w:tc>
      </w:tr>
      <w:tr>
        <w:tblPrEx>
          <w:tblCellMar>
            <w:top w:w="0" w:type="dxa"/>
            <w:left w:w="0" w:type="dxa"/>
            <w:bottom w:w="0" w:type="dxa"/>
            <w:right w:w="0" w:type="dxa"/>
          </w:tblCellMar>
        </w:tblPrEx>
        <w:trPr>
          <w:trHeight w:val="288" w:hRule="atLeast"/>
          <w:jc w:val="center"/>
        </w:trPr>
        <w:tc>
          <w:tcPr>
            <w:tcW w:w="34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rPr>
              <w:t>综合满意度</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b/>
                <w:color w:val="000000"/>
                <w:kern w:val="0"/>
                <w:sz w:val="24"/>
              </w:rPr>
              <w:t>97.5%</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ascii="仿宋" w:hAnsi="仿宋" w:eastAsia="仿宋" w:cs="仿宋"/>
                <w:color w:val="000000"/>
                <w:kern w:val="0"/>
                <w:sz w:val="24"/>
              </w:rPr>
            </w:pPr>
          </w:p>
        </w:tc>
      </w:tr>
    </w:tbl>
    <w:p>
      <w:pPr>
        <w:pStyle w:val="25"/>
        <w:adjustRightInd w:val="0"/>
        <w:snapToGrid w:val="0"/>
        <w:spacing w:before="120" w:after="120" w:line="600" w:lineRule="exact"/>
        <w:ind w:firstLine="643" w:firstLineChars="200"/>
        <w:rPr>
          <w:rFonts w:ascii="黑体" w:hAnsi="黑体" w:eastAsia="黑体" w:cs="黑体"/>
        </w:rPr>
      </w:pPr>
      <w:bookmarkStart w:id="73" w:name="_Toc25344"/>
      <w:r>
        <w:rPr>
          <w:rFonts w:hint="eastAsia" w:ascii="黑体" w:hAnsi="黑体" w:eastAsia="黑体" w:cs="黑体"/>
        </w:rPr>
        <w:t>四、项目绩效管理情况</w:t>
      </w:r>
      <w:bookmarkEnd w:id="73"/>
    </w:p>
    <w:p>
      <w:pPr>
        <w:spacing w:beforeLines="50" w:afterLines="50" w:line="600" w:lineRule="exact"/>
        <w:ind w:firstLine="600" w:firstLineChars="200"/>
        <w:rPr>
          <w:rFonts w:ascii="仿宋" w:hAnsi="仿宋" w:eastAsia="仿宋" w:cs="仿宋"/>
        </w:rPr>
      </w:pPr>
      <w:r>
        <w:rPr>
          <w:rFonts w:hint="eastAsia" w:ascii="仿宋" w:hAnsi="仿宋" w:eastAsia="仿宋" w:cs="仿宋"/>
          <w:szCs w:val="30"/>
        </w:rPr>
        <w:t>项目绩效管理整体情况良好，县民政局为项目预算绩效管理的责任主体，负责开展项目事前绩效评估，并根据工作计划及资金预算编制和调整绩效目标，年中对项目资金预算使用及指标完成进度实施运行监控，并于年终对设定的项目年度总目标、各具体绩效指标值进行绩效自评。但项目个别指标的指标及指标值不够合理，详见本报告第三（一）点绩效指标明确性。目前，项目绩效目标及自评结果暂未向社会公开。</w:t>
      </w:r>
    </w:p>
    <w:p>
      <w:pPr>
        <w:pStyle w:val="25"/>
        <w:adjustRightInd w:val="0"/>
        <w:snapToGrid w:val="0"/>
        <w:spacing w:before="120" w:after="120" w:line="600" w:lineRule="exact"/>
        <w:ind w:firstLine="643" w:firstLineChars="200"/>
        <w:rPr>
          <w:rFonts w:ascii="黑体" w:hAnsi="黑体" w:eastAsia="黑体" w:cs="黑体"/>
        </w:rPr>
      </w:pPr>
      <w:bookmarkStart w:id="74" w:name="_Toc21289"/>
      <w:r>
        <w:rPr>
          <w:rFonts w:hint="eastAsia" w:ascii="黑体" w:hAnsi="黑体" w:eastAsia="黑体" w:cs="黑体"/>
        </w:rPr>
        <w:t>五、评价结论</w:t>
      </w:r>
      <w:bookmarkEnd w:id="74"/>
    </w:p>
    <w:p>
      <w:pPr>
        <w:widowControl/>
        <w:adjustRightInd w:val="0"/>
        <w:snapToGrid w:val="0"/>
        <w:spacing w:line="600" w:lineRule="exact"/>
        <w:ind w:firstLine="600" w:firstLineChars="200"/>
        <w:jc w:val="left"/>
        <w:rPr>
          <w:rFonts w:ascii="仿宋" w:hAnsi="仿宋" w:eastAsia="仿宋"/>
          <w:color w:val="000000" w:themeColor="text1"/>
          <w:szCs w:val="30"/>
        </w:rPr>
      </w:pPr>
      <w:r>
        <w:rPr>
          <w:rFonts w:hint="eastAsia" w:ascii="仿宋" w:hAnsi="仿宋" w:eastAsia="仿宋"/>
          <w:szCs w:val="30"/>
        </w:rPr>
        <w:t>通过对巫溪县2019年城市低保项目</w:t>
      </w:r>
      <w:r>
        <w:rPr>
          <w:rFonts w:hint="eastAsia" w:ascii="仿宋" w:hAnsi="仿宋" w:eastAsia="仿宋"/>
          <w:color w:val="000000" w:themeColor="text1"/>
          <w:szCs w:val="30"/>
        </w:rPr>
        <w:t>进行综合评分，本</w:t>
      </w:r>
      <w:r>
        <w:rPr>
          <w:rFonts w:hint="eastAsia" w:ascii="仿宋_GB2312"/>
          <w:color w:val="000000" w:themeColor="text1"/>
          <w:sz w:val="32"/>
          <w:szCs w:val="32"/>
        </w:rPr>
        <w:t>项目</w:t>
      </w:r>
      <w:r>
        <w:rPr>
          <w:rFonts w:hint="eastAsia" w:ascii="仿宋" w:hAnsi="仿宋" w:eastAsia="仿宋"/>
          <w:color w:val="000000" w:themeColor="text1"/>
          <w:szCs w:val="30"/>
        </w:rPr>
        <w:t>绩效评价最终得分为：</w:t>
      </w:r>
      <w:r>
        <w:rPr>
          <w:rFonts w:ascii="仿宋" w:hAnsi="仿宋" w:eastAsia="仿宋"/>
          <w:b/>
          <w:bCs/>
          <w:color w:val="000000" w:themeColor="text1"/>
          <w:szCs w:val="30"/>
          <w:u w:val="single"/>
        </w:rPr>
        <w:t>8</w:t>
      </w:r>
      <w:r>
        <w:rPr>
          <w:rFonts w:hint="eastAsia" w:ascii="仿宋" w:hAnsi="仿宋" w:eastAsia="仿宋"/>
          <w:b/>
          <w:bCs/>
          <w:color w:val="000000" w:themeColor="text1"/>
          <w:szCs w:val="30"/>
          <w:u w:val="single"/>
        </w:rPr>
        <w:t>8.25分</w:t>
      </w:r>
      <w:r>
        <w:rPr>
          <w:rFonts w:hint="eastAsia" w:ascii="仿宋" w:hAnsi="仿宋" w:eastAsia="仿宋"/>
          <w:color w:val="000000" w:themeColor="text1"/>
          <w:szCs w:val="30"/>
        </w:rPr>
        <w:t>，</w:t>
      </w:r>
      <w:r>
        <w:rPr>
          <w:rFonts w:hint="eastAsia" w:ascii="仿宋" w:hAnsi="仿宋" w:eastAsia="仿宋"/>
          <w:color w:val="000000" w:themeColor="text1"/>
        </w:rPr>
        <w:t>评价等次为：</w:t>
      </w:r>
      <w:r>
        <w:rPr>
          <w:rFonts w:hint="eastAsia" w:ascii="仿宋" w:hAnsi="仿宋" w:eastAsia="仿宋"/>
          <w:b/>
          <w:color w:val="000000" w:themeColor="text1"/>
          <w:u w:val="single"/>
        </w:rPr>
        <w:t xml:space="preserve"> 良 </w:t>
      </w:r>
      <w:r>
        <w:rPr>
          <w:rFonts w:hint="eastAsia" w:ascii="仿宋" w:hAnsi="仿宋" w:eastAsia="仿宋"/>
          <w:color w:val="000000" w:themeColor="text1"/>
        </w:rPr>
        <w:t>。</w:t>
      </w:r>
      <w:r>
        <w:rPr>
          <w:rFonts w:hint="eastAsia" w:ascii="仿宋" w:hAnsi="仿宋" w:eastAsia="仿宋" w:cs="仿宋_GB2312"/>
          <w:color w:val="000000" w:themeColor="text1"/>
          <w:szCs w:val="30"/>
        </w:rPr>
        <w:t>项目效益主要体现在：项目的实施有助于</w:t>
      </w:r>
      <w:r>
        <w:rPr>
          <w:rFonts w:hint="eastAsia" w:ascii="仿宋" w:hAnsi="仿宋" w:eastAsia="仿宋"/>
          <w:bCs/>
          <w:kern w:val="0"/>
          <w:szCs w:val="30"/>
        </w:rPr>
        <w:t>缓解城市低保家庭的生活压力，改善城市低保家庭的生存条件，缩小贫富差距、维护社会稳定、促进社会和谐、提升群众幸福指数。</w:t>
      </w:r>
    </w:p>
    <w:p>
      <w:pPr>
        <w:pStyle w:val="25"/>
        <w:adjustRightInd w:val="0"/>
        <w:snapToGrid w:val="0"/>
        <w:spacing w:before="120" w:after="120" w:line="600" w:lineRule="exact"/>
        <w:ind w:firstLine="643" w:firstLineChars="200"/>
        <w:rPr>
          <w:rFonts w:ascii="黑体" w:hAnsi="黑体" w:eastAsia="黑体" w:cs="黑体"/>
        </w:rPr>
      </w:pPr>
      <w:bookmarkStart w:id="75" w:name="_Toc15316"/>
      <w:r>
        <w:rPr>
          <w:rFonts w:hint="eastAsia" w:ascii="黑体" w:hAnsi="黑体" w:eastAsia="黑体" w:cs="黑体"/>
        </w:rPr>
        <w:t>六、值得关注的问题</w:t>
      </w:r>
      <w:bookmarkEnd w:id="75"/>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（一）工作效率有待提高</w:t>
      </w:r>
    </w:p>
    <w:p>
      <w:pPr>
        <w:spacing w:line="600" w:lineRule="exact"/>
        <w:ind w:firstLine="602" w:firstLineChars="200"/>
        <w:rPr>
          <w:rFonts w:ascii="仿宋" w:hAnsi="仿宋" w:eastAsia="仿宋" w:cs="仿宋"/>
          <w:szCs w:val="30"/>
        </w:rPr>
      </w:pPr>
      <w:r>
        <w:rPr>
          <w:rFonts w:hint="eastAsia" w:ascii="仿宋" w:hAnsi="仿宋" w:eastAsia="仿宋" w:cs="仿宋"/>
          <w:b/>
          <w:bCs/>
          <w:kern w:val="0"/>
          <w:szCs w:val="30"/>
        </w:rPr>
        <w:t>一是审批时间较长。</w:t>
      </w:r>
      <w:r>
        <w:rPr>
          <w:rFonts w:hint="eastAsia" w:ascii="仿宋" w:hAnsi="仿宋" w:eastAsia="仿宋" w:cs="仿宋"/>
          <w:szCs w:val="30"/>
        </w:rPr>
        <w:t>渝民发〔2016〕80号文件规定“最低生活保障审核审批手续应当自受理申请之日起30个工作日内办结（不包括群众评议和公示期限）”，但通过现场查看一户一档资料，发现大部分乡镇城市低保户审批时间大于30个工作日，如宁厂镇、宁河街道、柏杨街道。</w:t>
      </w:r>
    </w:p>
    <w:p>
      <w:pPr>
        <w:spacing w:line="600" w:lineRule="exact"/>
        <w:ind w:firstLine="602" w:firstLineChars="200"/>
        <w:rPr>
          <w:rFonts w:ascii="仿宋" w:hAnsi="仿宋" w:eastAsia="仿宋" w:cs="仿宋"/>
          <w:szCs w:val="30"/>
        </w:rPr>
      </w:pPr>
      <w:r>
        <w:rPr>
          <w:rFonts w:hint="eastAsia" w:ascii="仿宋" w:hAnsi="仿宋" w:eastAsia="仿宋" w:cs="仿宋"/>
          <w:b/>
          <w:bCs/>
          <w:szCs w:val="30"/>
        </w:rPr>
        <w:t>二是低保金发放略有滞后。</w:t>
      </w:r>
      <w:r>
        <w:rPr>
          <w:rFonts w:hint="eastAsia" w:ascii="仿宋" w:hAnsi="仿宋" w:eastAsia="仿宋" w:cs="仿宋"/>
          <w:szCs w:val="30"/>
        </w:rPr>
        <w:t>按照渝民发〔2016〕80号要求，“低保金从批准的当月起按月发放。”通过现场查看各乡镇资金拨付情况，城市低保补助资金均按要求拨付至低保对象，但巫溪县低保金均从批准次月起发放，不符合文件要求；且大部分乡镇在2019年10月以前按季度发放，如宁河街道、宁厂镇、城厢镇。</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（二）项目基础管理存在漏洞</w:t>
      </w:r>
    </w:p>
    <w:p>
      <w:pPr>
        <w:spacing w:line="600" w:lineRule="exact"/>
        <w:ind w:firstLine="602" w:firstLineChars="200"/>
        <w:rPr>
          <w:rFonts w:ascii="仿宋" w:hAnsi="仿宋" w:eastAsia="仿宋" w:cs="仿宋"/>
          <w:szCs w:val="30"/>
        </w:rPr>
      </w:pPr>
      <w:r>
        <w:rPr>
          <w:rFonts w:hint="eastAsia" w:ascii="仿宋" w:hAnsi="仿宋" w:eastAsia="仿宋" w:cs="仿宋"/>
          <w:b/>
          <w:bCs/>
          <w:kern w:val="0"/>
          <w:szCs w:val="30"/>
        </w:rPr>
        <w:t>一是县民政局评审资料缺失。</w:t>
      </w:r>
      <w:r>
        <w:rPr>
          <w:rFonts w:hint="eastAsia" w:ascii="仿宋" w:hAnsi="仿宋" w:eastAsia="仿宋" w:cs="仿宋"/>
          <w:szCs w:val="30"/>
        </w:rPr>
        <w:t>根据渝民发〔2016〕80号文件要求，“区县（自治县）民政局应当根据材料审查和入户抽查情况，召开由分管局长主持，低保科（中心）科长（主任）和低保经办人员参加的评审会讨论审定，形成审批意见，并由参加评审的人员签字确认......”，但县民政局未提供评审会议等过程资料。</w:t>
      </w:r>
    </w:p>
    <w:p>
      <w:pPr>
        <w:widowControl/>
        <w:adjustRightInd w:val="0"/>
        <w:snapToGrid w:val="0"/>
        <w:spacing w:line="600" w:lineRule="exact"/>
        <w:ind w:firstLine="602" w:firstLineChars="200"/>
        <w:jc w:val="left"/>
        <w:rPr>
          <w:rFonts w:ascii="仿宋" w:hAnsi="仿宋" w:eastAsia="仿宋"/>
          <w:bCs/>
          <w:kern w:val="0"/>
          <w:szCs w:val="30"/>
        </w:rPr>
      </w:pPr>
      <w:r>
        <w:rPr>
          <w:rFonts w:hint="eastAsia" w:ascii="仿宋" w:hAnsi="仿宋" w:eastAsia="仿宋" w:cs="仿宋"/>
          <w:b/>
          <w:bCs/>
          <w:kern w:val="0"/>
          <w:szCs w:val="30"/>
        </w:rPr>
        <w:t>二是动态管理有待加强。</w:t>
      </w:r>
      <w:r>
        <w:rPr>
          <w:rFonts w:hint="eastAsia" w:ascii="仿宋" w:hAnsi="仿宋" w:eastAsia="仿宋" w:cs="仿宋"/>
          <w:kern w:val="0"/>
          <w:szCs w:val="30"/>
        </w:rPr>
        <w:t>根据渝民发〔2016〕80号文件要求，“城乡低保家庭A类每年、B类每半年、C类每季度向乡（镇）人民政府、街道办事处书面提出续保申请。家庭成员提出续保申请有困难的，可以委托其代理人或村民委员会、居民委员会代为提出续保申请。无特殊情况未提出续保申请的，视为自动退出低保。”“对A类家庭每年复核一次；对B类家庭每半年复核一次；对C类城市低保家庭原则上每月核查一次......”但通过查看档案资料和现场了解，各乡镇对续保管理较弱，低保家庭未提交续保申请，但未自动</w:t>
      </w:r>
      <w:r>
        <w:rPr>
          <w:rFonts w:hint="eastAsia" w:ascii="仿宋" w:hAnsi="仿宋" w:eastAsia="仿宋"/>
          <w:bCs/>
          <w:kern w:val="0"/>
          <w:szCs w:val="30"/>
        </w:rPr>
        <w:t>退出低保；同时，由于乡镇人员配置不够等原因，大多数乡镇未按规定开展核查工作。</w:t>
      </w:r>
    </w:p>
    <w:p>
      <w:pPr>
        <w:spacing w:line="600" w:lineRule="exact"/>
        <w:ind w:firstLine="602" w:firstLineChars="200"/>
        <w:rPr>
          <w:rFonts w:ascii="仿宋" w:hAnsi="仿宋" w:eastAsia="仿宋" w:cs="仿宋"/>
          <w:szCs w:val="30"/>
        </w:rPr>
      </w:pPr>
      <w:r>
        <w:rPr>
          <w:rFonts w:hint="eastAsia" w:ascii="仿宋" w:hAnsi="仿宋" w:eastAsia="仿宋" w:cs="仿宋"/>
          <w:b/>
          <w:bCs/>
          <w:szCs w:val="30"/>
        </w:rPr>
        <w:t>三是档案管理规范性有待提高。</w:t>
      </w:r>
      <w:r>
        <w:rPr>
          <w:rFonts w:hint="eastAsia" w:ascii="仿宋" w:hAnsi="仿宋" w:eastAsia="仿宋" w:cs="仿宋"/>
          <w:szCs w:val="30"/>
        </w:rPr>
        <w:t>根据现场查看抽样乡镇一户一档资料情况，各乡镇低保申请、审批、评议、公示等档案资料基本健全。但现场发现，部分乡镇档案资料中缺少评议资料，如宁厂镇、宁河街道；上磺镇评议资料中评议小组人员未达到渝民发〔2016〕80号中规定的7—9人。</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（三）家庭收入确定较难把控</w:t>
      </w:r>
    </w:p>
    <w:p>
      <w:pPr>
        <w:widowControl/>
        <w:adjustRightInd w:val="0"/>
        <w:snapToGrid w:val="0"/>
        <w:spacing w:line="600" w:lineRule="exact"/>
        <w:ind w:firstLine="600" w:firstLineChars="200"/>
        <w:jc w:val="left"/>
        <w:rPr>
          <w:rFonts w:ascii="黑体" w:hAnsi="黑体" w:eastAsia="黑体" w:cs="黑体"/>
        </w:rPr>
      </w:pPr>
      <w:r>
        <w:rPr>
          <w:rFonts w:hint="eastAsia" w:ascii="仿宋" w:hAnsi="仿宋" w:eastAsia="仿宋"/>
          <w:bCs/>
          <w:kern w:val="0"/>
          <w:szCs w:val="30"/>
        </w:rPr>
        <w:t>城市低保补助资金用于对家庭月人均收入低于最低生活保障标准的人员按照最低生活保障标准进行差额补助，补助金额由“重庆市民政综合业务管理平台”根据最低生活保障标准、低保对象家庭收入等自动计算。但平台中录入的家庭收入主要为社区（村）工作人员通过入户、走访等方式调查获取，而实际上，人均纯收入的计算程序复杂、项目繁多，较难把好低保对象入口关，主要体现为：（1）收入难以货币化。由于居民收入中粮食等实物收入占较大比重，在价值转化过程中，存在较大的随意性；（2）收入的不稳定性。除农作物收成的季节性及受自然灾害的影响较大等因素外，外出务工人员的增加，也增大了收入的不稳定性。</w:t>
      </w:r>
    </w:p>
    <w:p>
      <w:pPr>
        <w:pStyle w:val="25"/>
        <w:adjustRightInd w:val="0"/>
        <w:snapToGrid w:val="0"/>
        <w:spacing w:before="120" w:after="120" w:line="600" w:lineRule="exact"/>
        <w:ind w:firstLine="643" w:firstLineChars="200"/>
        <w:rPr>
          <w:rFonts w:ascii="黑体" w:hAnsi="黑体" w:eastAsia="黑体" w:cs="黑体"/>
        </w:rPr>
      </w:pPr>
      <w:bookmarkStart w:id="76" w:name="_Toc5521"/>
      <w:r>
        <w:rPr>
          <w:rFonts w:hint="eastAsia" w:ascii="黑体" w:hAnsi="黑体" w:eastAsia="黑体" w:cs="黑体"/>
        </w:rPr>
        <w:t>七、主要建议</w:t>
      </w:r>
      <w:bookmarkEnd w:id="76"/>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（一）优化资金发放进度</w:t>
      </w:r>
    </w:p>
    <w:p>
      <w:pPr>
        <w:spacing w:beforeLines="50" w:afterLines="50" w:line="600" w:lineRule="exact"/>
        <w:ind w:firstLine="600" w:firstLineChars="200"/>
        <w:rPr>
          <w:rFonts w:ascii="仿宋" w:hAnsi="仿宋" w:eastAsia="仿宋"/>
          <w:kern w:val="0"/>
          <w:szCs w:val="30"/>
        </w:rPr>
      </w:pPr>
      <w:r>
        <w:rPr>
          <w:rFonts w:hint="eastAsia" w:ascii="仿宋" w:hAnsi="仿宋" w:eastAsia="仿宋"/>
          <w:kern w:val="0"/>
          <w:szCs w:val="30"/>
        </w:rPr>
        <w:t>城市居民最低生活保障补助资金，是国家为了解决城市居民的生活困难而建立的一项社会救助资金，补助资金的发放对低保人员的生活尤为重要，特别对一些年老多病无劳动能力的老年人而言，救助资金成为他们唯一的经济来源。县民政局及各乡镇应严格按照上级文件要求，在保证低保人员资格审查质量的同时，尽量提高审核审批效率，缩短审核审批时间，并</w:t>
      </w:r>
      <w:r>
        <w:rPr>
          <w:rFonts w:hint="eastAsia" w:ascii="仿宋" w:hAnsi="仿宋" w:eastAsia="仿宋" w:cs="仿宋"/>
          <w:szCs w:val="30"/>
        </w:rPr>
        <w:t>从批准的当月起将低保金按月发放</w:t>
      </w:r>
      <w:r>
        <w:rPr>
          <w:rFonts w:hint="eastAsia" w:ascii="仿宋" w:hAnsi="仿宋" w:eastAsia="仿宋"/>
          <w:kern w:val="0"/>
          <w:szCs w:val="30"/>
        </w:rPr>
        <w:t>至低保人员手中，确保困难人员及时享受救助。</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（二）加强项目过程管理</w:t>
      </w:r>
    </w:p>
    <w:p>
      <w:pPr>
        <w:spacing w:beforeLines="50" w:afterLines="50" w:line="600" w:lineRule="exact"/>
        <w:ind w:firstLine="602" w:firstLineChars="200"/>
        <w:rPr>
          <w:rFonts w:ascii="仿宋" w:hAnsi="仿宋" w:eastAsia="仿宋"/>
          <w:kern w:val="0"/>
          <w:szCs w:val="30"/>
        </w:rPr>
      </w:pPr>
      <w:r>
        <w:rPr>
          <w:rFonts w:hint="eastAsia" w:ascii="仿宋" w:hAnsi="仿宋" w:eastAsia="仿宋"/>
          <w:b/>
          <w:bCs/>
          <w:kern w:val="0"/>
          <w:szCs w:val="30"/>
        </w:rPr>
        <w:t>一是</w:t>
      </w:r>
      <w:r>
        <w:rPr>
          <w:rFonts w:hint="eastAsia" w:ascii="仿宋" w:hAnsi="仿宋" w:eastAsia="仿宋"/>
          <w:kern w:val="0"/>
          <w:szCs w:val="30"/>
        </w:rPr>
        <w:t>县民政局应严格按照要求召开评审会议，并对评审过程进行记录，形成过程资料并存档，便于日后查阅</w:t>
      </w:r>
      <w:r>
        <w:rPr>
          <w:rFonts w:hint="eastAsia"/>
        </w:rPr>
        <w:t>。</w:t>
      </w:r>
      <w:r>
        <w:rPr>
          <w:rFonts w:hint="eastAsia" w:ascii="仿宋" w:hAnsi="仿宋" w:eastAsia="仿宋"/>
          <w:b/>
          <w:bCs/>
          <w:kern w:val="0"/>
          <w:szCs w:val="30"/>
        </w:rPr>
        <w:t>二是</w:t>
      </w:r>
      <w:r>
        <w:rPr>
          <w:rFonts w:hint="eastAsia" w:ascii="仿宋" w:hAnsi="仿宋" w:eastAsia="仿宋"/>
          <w:kern w:val="0"/>
          <w:szCs w:val="30"/>
        </w:rPr>
        <w:t>各乡镇应严格按照文件要求向低保对象收取续保申请书并办理续保手续，并按规定时间定期对低保对象进行复核，同时通过日常入户，准确掌握低保对象的基本信息，进一步摸清他们的实际生活状况，实现“应保尽保，应退尽退”。</w:t>
      </w:r>
      <w:r>
        <w:rPr>
          <w:rFonts w:hint="eastAsia" w:ascii="仿宋" w:hAnsi="仿宋" w:eastAsia="仿宋"/>
          <w:b/>
          <w:bCs/>
          <w:kern w:val="0"/>
          <w:szCs w:val="30"/>
        </w:rPr>
        <w:t>三是</w:t>
      </w:r>
      <w:r>
        <w:rPr>
          <w:rFonts w:hint="eastAsia" w:ascii="仿宋" w:hAnsi="仿宋" w:eastAsia="仿宋"/>
          <w:kern w:val="0"/>
          <w:szCs w:val="30"/>
        </w:rPr>
        <w:t>各乡镇应加强低保档案管理，严格按照</w:t>
      </w:r>
      <w:r>
        <w:rPr>
          <w:rFonts w:hint="eastAsia" w:ascii="仿宋" w:hAnsi="仿宋" w:eastAsia="仿宋" w:cs="仿宋"/>
          <w:szCs w:val="30"/>
        </w:rPr>
        <w:t>渝民发〔2016〕80号文件中的档案管理要求，以户为单位整理归档相关材料。</w:t>
      </w:r>
    </w:p>
    <w:p>
      <w:pPr>
        <w:spacing w:beforeLines="50" w:afterLines="50" w:line="600" w:lineRule="exact"/>
        <w:ind w:firstLine="602" w:firstLineChars="200"/>
        <w:rPr>
          <w:rFonts w:ascii="仿宋" w:hAnsi="仿宋" w:eastAsia="仿宋"/>
          <w:b/>
          <w:bCs/>
          <w:kern w:val="0"/>
          <w:szCs w:val="30"/>
        </w:rPr>
      </w:pPr>
      <w:r>
        <w:rPr>
          <w:rFonts w:hint="eastAsia" w:ascii="仿宋" w:hAnsi="仿宋" w:eastAsia="仿宋"/>
          <w:b/>
          <w:bCs/>
          <w:kern w:val="0"/>
          <w:szCs w:val="30"/>
        </w:rPr>
        <w:t>（三）科学测算收入、准确界定低保对象</w:t>
      </w:r>
    </w:p>
    <w:p>
      <w:pPr>
        <w:spacing w:beforeLines="50" w:afterLines="50" w:line="600" w:lineRule="exact"/>
        <w:ind w:firstLine="600" w:firstLineChars="200"/>
        <w:rPr>
          <w:rFonts w:ascii="仿宋" w:hAnsi="仿宋" w:eastAsia="仿宋" w:cs="仿宋"/>
          <w:b/>
          <w:spacing w:val="-10"/>
          <w:szCs w:val="30"/>
        </w:rPr>
      </w:pPr>
      <w:r>
        <w:rPr>
          <w:rFonts w:hint="eastAsia" w:ascii="仿宋" w:hAnsi="仿宋" w:eastAsia="仿宋"/>
          <w:kern w:val="0"/>
          <w:szCs w:val="30"/>
        </w:rPr>
        <w:t>科学准确地测算低保申请人的家庭收入是确定保障对象及补助标准的主要依据，家庭收入的类别应为种植、养殖、加工、劳务等纯收入和接受或应该接受的扶/抚/赡养费等。由于家庭经营收入类别繁杂，价格按地域高低不一，因此在家庭收入的具体计算上，应本着宜粗不宜细的原则，制定一个科学的量化标准(比如农作物的地域亩产量、扶养费支出比例等)，根据当地的实际情况分类进行匡算，且必须计算纯收入，尽量保证低保人员资格认定的准确性。</w:t>
      </w:r>
      <w:bookmarkEnd w:id="70"/>
      <w:bookmarkEnd w:id="71"/>
      <w:bookmarkEnd w:id="72"/>
      <w:bookmarkStart w:id="77" w:name="_Toc6100"/>
    </w:p>
    <w:p>
      <w:pPr>
        <w:spacing w:before="50" w:after="50" w:line="360" w:lineRule="auto"/>
        <w:ind w:firstLine="557" w:firstLineChars="198"/>
        <w:rPr>
          <w:rFonts w:hint="eastAsia" w:ascii="仿宋" w:hAnsi="仿宋" w:eastAsia="仿宋" w:cs="仿宋"/>
          <w:b/>
          <w:spacing w:val="-10"/>
          <w:szCs w:val="30"/>
        </w:rPr>
      </w:pPr>
    </w:p>
    <w:p>
      <w:pPr>
        <w:spacing w:before="50" w:after="50" w:line="360" w:lineRule="auto"/>
        <w:ind w:firstLine="557" w:firstLineChars="198"/>
        <w:rPr>
          <w:rFonts w:hint="eastAsia" w:ascii="仿宋" w:hAnsi="仿宋" w:eastAsia="仿宋" w:cs="仿宋"/>
          <w:b/>
          <w:spacing w:val="-10"/>
          <w:szCs w:val="30"/>
        </w:rPr>
      </w:pPr>
    </w:p>
    <w:p>
      <w:pPr>
        <w:spacing w:before="50" w:after="50" w:line="360" w:lineRule="auto"/>
        <w:ind w:firstLine="557" w:firstLineChars="198"/>
        <w:rPr>
          <w:rFonts w:hint="eastAsia" w:ascii="仿宋" w:hAnsi="仿宋" w:eastAsia="仿宋" w:cs="仿宋"/>
          <w:b/>
          <w:spacing w:val="-10"/>
          <w:szCs w:val="30"/>
        </w:rPr>
      </w:pPr>
    </w:p>
    <w:p>
      <w:pPr>
        <w:spacing w:before="50" w:after="50" w:line="360" w:lineRule="auto"/>
        <w:ind w:firstLine="557" w:firstLineChars="198"/>
        <w:rPr>
          <w:rFonts w:ascii="仿宋" w:hAnsi="仿宋" w:eastAsia="仿宋" w:cs="仿宋"/>
          <w:b/>
          <w:spacing w:val="-10"/>
          <w:szCs w:val="30"/>
        </w:rPr>
      </w:pPr>
      <w:r>
        <w:rPr>
          <w:rFonts w:hint="eastAsia" w:ascii="仿宋" w:hAnsi="仿宋" w:eastAsia="仿宋" w:cs="仿宋"/>
          <w:b/>
          <w:spacing w:val="-10"/>
          <w:szCs w:val="30"/>
        </w:rPr>
        <w:t>附件：</w:t>
      </w:r>
      <w:bookmarkEnd w:id="77"/>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1.巫溪县2019年城市低保项目绩效评价指标体系及评分表</w:t>
      </w:r>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2.重庆通冠会计师事务所营业执照</w:t>
      </w:r>
    </w:p>
    <w:p>
      <w:pPr>
        <w:spacing w:line="360" w:lineRule="auto"/>
        <w:ind w:firstLine="600" w:firstLineChars="2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3.重庆通冠会计师事务所执业证书</w:t>
      </w:r>
    </w:p>
    <w:p>
      <w:pPr>
        <w:spacing w:line="600" w:lineRule="exact"/>
        <w:rPr>
          <w:rFonts w:ascii="仿宋" w:hAnsi="仿宋" w:eastAsia="仿宋" w:cs="仿宋"/>
          <w:bCs/>
          <w:w w:val="90"/>
          <w:szCs w:val="30"/>
        </w:rPr>
      </w:pPr>
    </w:p>
    <w:tbl>
      <w:tblPr>
        <w:tblStyle w:val="12"/>
        <w:tblW w:w="9362" w:type="dxa"/>
        <w:jc w:val="center"/>
        <w:tblLayout w:type="fixed"/>
        <w:tblCellMar>
          <w:top w:w="0" w:type="dxa"/>
          <w:left w:w="108" w:type="dxa"/>
          <w:bottom w:w="0" w:type="dxa"/>
          <w:right w:w="108" w:type="dxa"/>
        </w:tblCellMar>
      </w:tblPr>
      <w:tblGrid>
        <w:gridCol w:w="5175"/>
        <w:gridCol w:w="4187"/>
      </w:tblGrid>
      <w:tr>
        <w:tblPrEx>
          <w:tblCellMar>
            <w:top w:w="0" w:type="dxa"/>
            <w:left w:w="108" w:type="dxa"/>
            <w:bottom w:w="0" w:type="dxa"/>
            <w:right w:w="108" w:type="dxa"/>
          </w:tblCellMar>
        </w:tblPrEx>
        <w:trPr>
          <w:trHeight w:val="1180" w:hRule="atLeast"/>
          <w:jc w:val="center"/>
        </w:trPr>
        <w:tc>
          <w:tcPr>
            <w:tcW w:w="5175"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重庆通冠会计师事务所有限责任公司</w:t>
            </w:r>
          </w:p>
        </w:tc>
        <w:tc>
          <w:tcPr>
            <w:tcW w:w="4187"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p>
          <w:p>
            <w:pPr>
              <w:spacing w:line="360" w:lineRule="atLeast"/>
              <w:rPr>
                <w:rFonts w:ascii="仿宋" w:hAnsi="仿宋" w:eastAsia="仿宋" w:cs="仿宋"/>
                <w:kern w:val="0"/>
                <w:szCs w:val="30"/>
                <w:shd w:val="clear" w:color="auto" w:fill="FFFFFF"/>
              </w:rPr>
            </w:pPr>
          </w:p>
          <w:p>
            <w:pPr>
              <w:spacing w:line="360" w:lineRule="atLeast"/>
              <w:ind w:firstLine="300" w:firstLineChars="1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中国注册造价工程师：</w:t>
            </w:r>
          </w:p>
        </w:tc>
      </w:tr>
      <w:tr>
        <w:tblPrEx>
          <w:tblCellMar>
            <w:top w:w="0" w:type="dxa"/>
            <w:left w:w="108" w:type="dxa"/>
            <w:bottom w:w="0" w:type="dxa"/>
            <w:right w:w="108" w:type="dxa"/>
          </w:tblCellMar>
        </w:tblPrEx>
        <w:trPr>
          <w:trHeight w:val="1110" w:hRule="atLeast"/>
          <w:jc w:val="center"/>
        </w:trPr>
        <w:tc>
          <w:tcPr>
            <w:tcW w:w="5175" w:type="dxa"/>
            <w:noWrap/>
          </w:tcPr>
          <w:p>
            <w:pPr>
              <w:spacing w:line="360" w:lineRule="atLeast"/>
              <w:jc w:val="center"/>
              <w:rPr>
                <w:rFonts w:ascii="仿宋" w:hAnsi="仿宋" w:eastAsia="仿宋" w:cs="仿宋"/>
                <w:kern w:val="0"/>
                <w:szCs w:val="30"/>
                <w:shd w:val="clear" w:color="auto" w:fill="FFFFFF"/>
              </w:rPr>
            </w:pPr>
          </w:p>
        </w:tc>
        <w:tc>
          <w:tcPr>
            <w:tcW w:w="4187" w:type="dxa"/>
            <w:noWrap/>
          </w:tcPr>
          <w:p>
            <w:pPr>
              <w:spacing w:line="360" w:lineRule="atLeast"/>
              <w:jc w:val="center"/>
              <w:rPr>
                <w:rFonts w:ascii="仿宋" w:hAnsi="仿宋" w:eastAsia="仿宋" w:cs="仿宋"/>
                <w:kern w:val="0"/>
                <w:szCs w:val="30"/>
                <w:shd w:val="clear" w:color="auto" w:fill="FFFFFF"/>
              </w:rPr>
            </w:pPr>
          </w:p>
          <w:p>
            <w:pPr>
              <w:spacing w:line="360" w:lineRule="atLeast"/>
              <w:jc w:val="center"/>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 xml:space="preserve"> 中国注册会计师：</w:t>
            </w:r>
          </w:p>
        </w:tc>
      </w:tr>
      <w:tr>
        <w:tblPrEx>
          <w:tblCellMar>
            <w:top w:w="0" w:type="dxa"/>
            <w:left w:w="108" w:type="dxa"/>
            <w:bottom w:w="0" w:type="dxa"/>
            <w:right w:w="108" w:type="dxa"/>
          </w:tblCellMar>
        </w:tblPrEx>
        <w:trPr>
          <w:trHeight w:val="602" w:hRule="atLeast"/>
          <w:jc w:val="center"/>
        </w:trPr>
        <w:tc>
          <w:tcPr>
            <w:tcW w:w="5175" w:type="dxa"/>
            <w:noWrap/>
          </w:tcPr>
          <w:p>
            <w:pPr>
              <w:spacing w:line="360" w:lineRule="atLeast"/>
              <w:jc w:val="center"/>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中国·重庆市</w:t>
            </w:r>
          </w:p>
        </w:tc>
        <w:tc>
          <w:tcPr>
            <w:tcW w:w="4187" w:type="dxa"/>
            <w:noWrap/>
          </w:tcPr>
          <w:p>
            <w:pPr>
              <w:spacing w:line="360" w:lineRule="atLeast"/>
              <w:ind w:firstLine="300" w:firstLineChars="100"/>
              <w:rPr>
                <w:rFonts w:ascii="仿宋" w:hAnsi="仿宋" w:eastAsia="仿宋" w:cs="仿宋"/>
                <w:kern w:val="0"/>
                <w:szCs w:val="30"/>
                <w:shd w:val="clear" w:color="auto" w:fill="FFFFFF"/>
              </w:rPr>
            </w:pPr>
            <w:r>
              <w:rPr>
                <w:rFonts w:hint="eastAsia" w:ascii="仿宋" w:hAnsi="仿宋" w:eastAsia="仿宋" w:cs="仿宋"/>
                <w:kern w:val="0"/>
                <w:szCs w:val="30"/>
                <w:shd w:val="clear" w:color="auto" w:fill="FFFFFF"/>
              </w:rPr>
              <w:t>二Ｏ二Ｏ年十</w:t>
            </w:r>
            <w:r>
              <w:rPr>
                <w:rFonts w:hint="eastAsia" w:ascii="仿宋" w:hAnsi="仿宋" w:eastAsia="仿宋" w:cs="仿宋"/>
                <w:kern w:val="0"/>
                <w:szCs w:val="30"/>
                <w:shd w:val="clear" w:color="auto" w:fill="FFFFFF"/>
                <w:lang w:eastAsia="zh-CN"/>
              </w:rPr>
              <w:t>二</w:t>
            </w:r>
            <w:r>
              <w:rPr>
                <w:rFonts w:hint="eastAsia" w:ascii="仿宋" w:hAnsi="仿宋" w:eastAsia="仿宋" w:cs="仿宋"/>
                <w:kern w:val="0"/>
                <w:szCs w:val="30"/>
                <w:shd w:val="clear" w:color="auto" w:fill="FFFFFF"/>
              </w:rPr>
              <w:t>月</w:t>
            </w:r>
            <w:r>
              <w:rPr>
                <w:rFonts w:hint="eastAsia" w:ascii="仿宋" w:hAnsi="仿宋" w:eastAsia="仿宋" w:cs="仿宋"/>
                <w:kern w:val="0"/>
                <w:szCs w:val="30"/>
                <w:shd w:val="clear" w:color="auto" w:fill="FFFFFF"/>
                <w:lang w:eastAsia="zh-CN"/>
              </w:rPr>
              <w:t>三十</w:t>
            </w:r>
            <w:r>
              <w:rPr>
                <w:rFonts w:hint="eastAsia" w:ascii="仿宋" w:hAnsi="仿宋" w:eastAsia="仿宋" w:cs="仿宋"/>
                <w:kern w:val="0"/>
                <w:szCs w:val="30"/>
                <w:shd w:val="clear" w:color="auto" w:fill="FFFFFF"/>
              </w:rPr>
              <w:t>日</w:t>
            </w:r>
          </w:p>
        </w:tc>
      </w:tr>
    </w:tbl>
    <w:p>
      <w:pPr>
        <w:pStyle w:val="2"/>
      </w:pPr>
    </w:p>
    <w:sectPr>
      <w:footerReference r:id="rId11" w:type="first"/>
      <w:footerReference r:id="rId10" w:type="default"/>
      <w:footnotePr>
        <w:numFmt w:val="decimalEnclosedCircleChinese"/>
      </w:footnotePr>
      <w:pgSz w:w="11906" w:h="16838"/>
      <w:pgMar w:top="1418" w:right="1418" w:bottom="1417" w:left="1418" w:header="1021" w:footer="1021"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w:pict>
        <v:line id="_x0000_s1030" o:spid="_x0000_s1030" o:spt="20" style="position:absolute;left:0pt;margin-left:-0.75pt;margin-top:-4.95pt;height:0pt;width:442.5pt;z-index:251659264;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PYyXjzzAQAA3wMAAA4AAAAAAAAAAQAgAAAAIwEAAGRycy9lMm9Eb2MueG1sUEsFBgAA&#10;AAAGAAYAWQEAAIgFAAAAAA==&#10;">
          <v:path arrowok="t"/>
          <v:fill focussize="0,0"/>
          <v:stroke weight="4.5pt" color="#47A3FF" linestyle="thickThin"/>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pPr>
    <w:r>
      <w:pict>
        <v:line id="_x0000_s1029" o:spid="_x0000_s1029" o:spt="20" style="position:absolute;left:0pt;margin-left:-0.75pt;margin-top:-4.95pt;height:0pt;width:442.5pt;z-index:251660288;mso-width-relative:page;mso-height-relative:page;" stroked="t" coordsize="21600,21600" o:gfxdata="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5QQP9QAAAAIAQAADwAAAAAAAAABACAAAAAiAAAAZHJzL2Rvd25yZXYueG1sUEsBAhQAFAAA&#10;AAgAh07iQDlz38XzAQAA3wMAAA4AAAAAAAAAAQAgAAAAIwEAAGRycy9lMm9Eb2MueG1sUEsFBgAA&#10;AAAGAAYAWQEAAIgFAAAAAA==&#10;">
          <v:path arrowok="t"/>
          <v:fill focussize="0,0"/>
          <v:stroke weight="4.5pt" color="#47A3FF" linestyle="thickThin"/>
          <v:imagedata o:title=""/>
          <o:lock v:ext="edit"/>
        </v:lin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647"/>
        <w:tab w:val="clear" w:pos="8306"/>
      </w:tabs>
      <w:ind w:firstLine="210" w:firstLineChars="100"/>
      <w:jc w:val="center"/>
    </w:pPr>
    <w: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7"/>
                  <w:rPr>
                    <w:rFonts w:eastAsia="仿宋_GB2312"/>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16 页</w:t>
                </w:r>
              </w:p>
            </w:txbxContent>
          </v:textbox>
        </v:shape>
      </w:pict>
    </w:r>
    <w:r>
      <w:pict>
        <v:line id="_x0000_s1027" o:spid="_x0000_s1027" o:spt="20" style="position:absolute;left:0pt;margin-left:-0.75pt;margin-top:-4.95pt;height:0pt;width:442.5pt;z-index:251661312;mso-width-relative:page;mso-height-relative:page;" stroked="t" coordsize="21600,21600" o:gfxdata="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RtXXYAAAACAEAAA8AAAAAAAAAAQAgAAAAIgAAAGRycy9k&#10;b3ducmV2LnhtbFBLAQIUABQAAAAIAIdO4kCsXwdoAgIAAAEEAAAOAAAAAAAAAAEAIAAAACcBAABk&#10;cnMvZTJvRG9jLnhtbFBLBQYAAAAABgAGAFkBAACbBQAAAAA=&#10;">
          <v:path arrowok="t"/>
          <v:fill focussize="0,0"/>
          <v:stroke weight="4.5pt" color="#7F7F7F" linestyle="thickThin"/>
          <v:imagedata o:title=""/>
          <o:lock v:ext="edit"/>
        </v:lin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仿宋"/>
      </w:rPr>
    </w:pPr>
    <w:r>
      <w:pict>
        <v:line id="_x0000_s1026" o:spid="_x0000_s1026" o:spt="20" style="position:absolute;left:0pt;margin-left:-2.25pt;margin-top:14.85pt;height:0pt;width:442.5pt;z-index:251661312;mso-width-relative:page;mso-height-relative:page;" coordsize="21600,21600" o:gfxdata="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2Y&#10;86DWAAAACAEAAA8AAAAAAAAAAQAgAAAAIgAAAGRycy9kb3ducmV2LnhtbFBLAQIUABQAAAAIAIdO&#10;4kDGY1kL7AEAANgDAAAOAAAAAAAAAAEAIAAAACUBAABkcnMvZTJvRG9jLnhtbFBLBQYAAAAABgAG&#10;AFkBAACDBQAAAAA=&#10;">
          <v:path arrowok="t"/>
          <v:fill focussize="0,0"/>
          <v:stroke/>
          <v:imagedata o:title=""/>
          <o:lock v:ext="edit"/>
        </v:line>
      </w:pict>
    </w:r>
    <w:r>
      <w:rPr>
        <w:rFonts w:hint="eastAsia" w:ascii="仿宋" w:hAnsi="仿宋" w:eastAsia="仿宋"/>
        <w:sz w:val="20"/>
        <w:szCs w:val="16"/>
      </w:rPr>
      <w:t>巫溪县2019年城市低保项目绩效评价报告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E496F"/>
    <w:multiLevelType w:val="singleLevel"/>
    <w:tmpl w:val="602E4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FE68E4"/>
    <w:rsid w:val="00030077"/>
    <w:rsid w:val="00033848"/>
    <w:rsid w:val="000352B5"/>
    <w:rsid w:val="00036B06"/>
    <w:rsid w:val="00043FF1"/>
    <w:rsid w:val="0006646C"/>
    <w:rsid w:val="000B66D3"/>
    <w:rsid w:val="000C79F1"/>
    <w:rsid w:val="000E4134"/>
    <w:rsid w:val="000F5C1B"/>
    <w:rsid w:val="000F659F"/>
    <w:rsid w:val="001233E4"/>
    <w:rsid w:val="0015471A"/>
    <w:rsid w:val="00161F1E"/>
    <w:rsid w:val="001979AA"/>
    <w:rsid w:val="001A1225"/>
    <w:rsid w:val="001A53B4"/>
    <w:rsid w:val="001D5473"/>
    <w:rsid w:val="001D609D"/>
    <w:rsid w:val="001E0337"/>
    <w:rsid w:val="001E1C2D"/>
    <w:rsid w:val="001E3BC0"/>
    <w:rsid w:val="001F5ED2"/>
    <w:rsid w:val="00207584"/>
    <w:rsid w:val="0029107F"/>
    <w:rsid w:val="0029633E"/>
    <w:rsid w:val="0029697C"/>
    <w:rsid w:val="002B01AA"/>
    <w:rsid w:val="002B4F4D"/>
    <w:rsid w:val="002C2289"/>
    <w:rsid w:val="002D5FC0"/>
    <w:rsid w:val="002D6FA5"/>
    <w:rsid w:val="003066E7"/>
    <w:rsid w:val="003227BF"/>
    <w:rsid w:val="0032533B"/>
    <w:rsid w:val="00325B1B"/>
    <w:rsid w:val="003269ED"/>
    <w:rsid w:val="00334CB2"/>
    <w:rsid w:val="00336D42"/>
    <w:rsid w:val="00362685"/>
    <w:rsid w:val="00371C3B"/>
    <w:rsid w:val="003937A9"/>
    <w:rsid w:val="003960C9"/>
    <w:rsid w:val="003B248B"/>
    <w:rsid w:val="003C1949"/>
    <w:rsid w:val="003E37D1"/>
    <w:rsid w:val="003E6AD1"/>
    <w:rsid w:val="003E77B6"/>
    <w:rsid w:val="003F1413"/>
    <w:rsid w:val="003F1C77"/>
    <w:rsid w:val="0040501E"/>
    <w:rsid w:val="0041052C"/>
    <w:rsid w:val="0041202F"/>
    <w:rsid w:val="004153C2"/>
    <w:rsid w:val="00422A66"/>
    <w:rsid w:val="00444665"/>
    <w:rsid w:val="0047241F"/>
    <w:rsid w:val="00484467"/>
    <w:rsid w:val="004A4BEC"/>
    <w:rsid w:val="004B12BE"/>
    <w:rsid w:val="004B254B"/>
    <w:rsid w:val="004D05C5"/>
    <w:rsid w:val="004E4AF9"/>
    <w:rsid w:val="004E771F"/>
    <w:rsid w:val="004F25E6"/>
    <w:rsid w:val="005245BF"/>
    <w:rsid w:val="00531031"/>
    <w:rsid w:val="00532BC1"/>
    <w:rsid w:val="0053720A"/>
    <w:rsid w:val="00541308"/>
    <w:rsid w:val="005750B6"/>
    <w:rsid w:val="00577F66"/>
    <w:rsid w:val="00590FE8"/>
    <w:rsid w:val="00593CB3"/>
    <w:rsid w:val="005B2C03"/>
    <w:rsid w:val="005C15F2"/>
    <w:rsid w:val="005C4410"/>
    <w:rsid w:val="005F6A9E"/>
    <w:rsid w:val="006016BE"/>
    <w:rsid w:val="0061021C"/>
    <w:rsid w:val="00610E3A"/>
    <w:rsid w:val="0062676F"/>
    <w:rsid w:val="00646189"/>
    <w:rsid w:val="006714F2"/>
    <w:rsid w:val="00672802"/>
    <w:rsid w:val="00681F2C"/>
    <w:rsid w:val="0068447B"/>
    <w:rsid w:val="00685BCD"/>
    <w:rsid w:val="006A22AE"/>
    <w:rsid w:val="006A7CF8"/>
    <w:rsid w:val="006B794A"/>
    <w:rsid w:val="006C6F1F"/>
    <w:rsid w:val="006E06FB"/>
    <w:rsid w:val="006E7C9C"/>
    <w:rsid w:val="006F2864"/>
    <w:rsid w:val="0070394E"/>
    <w:rsid w:val="00711D01"/>
    <w:rsid w:val="007203E8"/>
    <w:rsid w:val="00733CFE"/>
    <w:rsid w:val="0076301A"/>
    <w:rsid w:val="007732B2"/>
    <w:rsid w:val="007B5660"/>
    <w:rsid w:val="007C0672"/>
    <w:rsid w:val="007C0781"/>
    <w:rsid w:val="007D4409"/>
    <w:rsid w:val="007D7BA1"/>
    <w:rsid w:val="007F335C"/>
    <w:rsid w:val="007F529D"/>
    <w:rsid w:val="007F5407"/>
    <w:rsid w:val="008100C2"/>
    <w:rsid w:val="0081334B"/>
    <w:rsid w:val="00825192"/>
    <w:rsid w:val="0083073D"/>
    <w:rsid w:val="00836A86"/>
    <w:rsid w:val="00840099"/>
    <w:rsid w:val="00850ABB"/>
    <w:rsid w:val="0086378A"/>
    <w:rsid w:val="0086535E"/>
    <w:rsid w:val="00867D0E"/>
    <w:rsid w:val="00877DAD"/>
    <w:rsid w:val="008C3E4E"/>
    <w:rsid w:val="008D0B6D"/>
    <w:rsid w:val="008F45A6"/>
    <w:rsid w:val="0092461A"/>
    <w:rsid w:val="00935369"/>
    <w:rsid w:val="00941A4A"/>
    <w:rsid w:val="00945D99"/>
    <w:rsid w:val="009474F7"/>
    <w:rsid w:val="00983474"/>
    <w:rsid w:val="009A7CB2"/>
    <w:rsid w:val="009B468C"/>
    <w:rsid w:val="009B562E"/>
    <w:rsid w:val="009C4A71"/>
    <w:rsid w:val="009C51D6"/>
    <w:rsid w:val="009F005D"/>
    <w:rsid w:val="00A30CC7"/>
    <w:rsid w:val="00A42D22"/>
    <w:rsid w:val="00A463D1"/>
    <w:rsid w:val="00A504D7"/>
    <w:rsid w:val="00A66C40"/>
    <w:rsid w:val="00A83319"/>
    <w:rsid w:val="00A924DE"/>
    <w:rsid w:val="00A97B97"/>
    <w:rsid w:val="00AA56C9"/>
    <w:rsid w:val="00AB6393"/>
    <w:rsid w:val="00AE1ECF"/>
    <w:rsid w:val="00AE25CA"/>
    <w:rsid w:val="00B003ED"/>
    <w:rsid w:val="00B138FC"/>
    <w:rsid w:val="00B240D9"/>
    <w:rsid w:val="00B275C6"/>
    <w:rsid w:val="00B43B2C"/>
    <w:rsid w:val="00B473B1"/>
    <w:rsid w:val="00B665B1"/>
    <w:rsid w:val="00B862A9"/>
    <w:rsid w:val="00BA6E24"/>
    <w:rsid w:val="00BB0A53"/>
    <w:rsid w:val="00BD237E"/>
    <w:rsid w:val="00BE4A29"/>
    <w:rsid w:val="00C01128"/>
    <w:rsid w:val="00C06A1C"/>
    <w:rsid w:val="00C279EF"/>
    <w:rsid w:val="00C33757"/>
    <w:rsid w:val="00C348AC"/>
    <w:rsid w:val="00C3496F"/>
    <w:rsid w:val="00C40F9D"/>
    <w:rsid w:val="00C415D4"/>
    <w:rsid w:val="00C5080A"/>
    <w:rsid w:val="00C557DD"/>
    <w:rsid w:val="00C616E5"/>
    <w:rsid w:val="00C70893"/>
    <w:rsid w:val="00CA2D4C"/>
    <w:rsid w:val="00CA6299"/>
    <w:rsid w:val="00CC6CB2"/>
    <w:rsid w:val="00CD5027"/>
    <w:rsid w:val="00CD59B6"/>
    <w:rsid w:val="00CE03CB"/>
    <w:rsid w:val="00CE062A"/>
    <w:rsid w:val="00CE16E7"/>
    <w:rsid w:val="00D00A65"/>
    <w:rsid w:val="00D0371F"/>
    <w:rsid w:val="00D30AAC"/>
    <w:rsid w:val="00D35EA5"/>
    <w:rsid w:val="00D4369D"/>
    <w:rsid w:val="00D52F3E"/>
    <w:rsid w:val="00D54C68"/>
    <w:rsid w:val="00D60090"/>
    <w:rsid w:val="00D66CF8"/>
    <w:rsid w:val="00D75364"/>
    <w:rsid w:val="00DB19C2"/>
    <w:rsid w:val="00DB4E69"/>
    <w:rsid w:val="00DE40D0"/>
    <w:rsid w:val="00DF0132"/>
    <w:rsid w:val="00DF5764"/>
    <w:rsid w:val="00E041E3"/>
    <w:rsid w:val="00E13CD1"/>
    <w:rsid w:val="00E408BF"/>
    <w:rsid w:val="00E501D8"/>
    <w:rsid w:val="00E57FD1"/>
    <w:rsid w:val="00E66A17"/>
    <w:rsid w:val="00E67BED"/>
    <w:rsid w:val="00E70E48"/>
    <w:rsid w:val="00E9478F"/>
    <w:rsid w:val="00EA4C52"/>
    <w:rsid w:val="00EC0D4A"/>
    <w:rsid w:val="00EE3EC7"/>
    <w:rsid w:val="00EF0A2E"/>
    <w:rsid w:val="00EF3EE1"/>
    <w:rsid w:val="00EF4D0B"/>
    <w:rsid w:val="00F10F79"/>
    <w:rsid w:val="00F15BFA"/>
    <w:rsid w:val="00F1747A"/>
    <w:rsid w:val="00F4568C"/>
    <w:rsid w:val="00F55ABC"/>
    <w:rsid w:val="00F56C0B"/>
    <w:rsid w:val="00F61473"/>
    <w:rsid w:val="00F64390"/>
    <w:rsid w:val="00F74909"/>
    <w:rsid w:val="00F761EA"/>
    <w:rsid w:val="00F82568"/>
    <w:rsid w:val="00F948E8"/>
    <w:rsid w:val="00FE12ED"/>
    <w:rsid w:val="00FE1636"/>
    <w:rsid w:val="00FF50E6"/>
    <w:rsid w:val="015220C8"/>
    <w:rsid w:val="018C7400"/>
    <w:rsid w:val="01E536DC"/>
    <w:rsid w:val="022E0EC7"/>
    <w:rsid w:val="02A80856"/>
    <w:rsid w:val="02C531E1"/>
    <w:rsid w:val="035334D7"/>
    <w:rsid w:val="03B033ED"/>
    <w:rsid w:val="03B2540F"/>
    <w:rsid w:val="04462D9C"/>
    <w:rsid w:val="04FC3E9E"/>
    <w:rsid w:val="0616129F"/>
    <w:rsid w:val="06A4751A"/>
    <w:rsid w:val="075F0B42"/>
    <w:rsid w:val="09722BB4"/>
    <w:rsid w:val="09A42686"/>
    <w:rsid w:val="09C452C1"/>
    <w:rsid w:val="09E74E5D"/>
    <w:rsid w:val="0A10205F"/>
    <w:rsid w:val="0B4259DE"/>
    <w:rsid w:val="0B493D46"/>
    <w:rsid w:val="0B9F0865"/>
    <w:rsid w:val="0C6A3FCD"/>
    <w:rsid w:val="0D0D60DA"/>
    <w:rsid w:val="0DB45A71"/>
    <w:rsid w:val="0E007B35"/>
    <w:rsid w:val="0E2B4AD2"/>
    <w:rsid w:val="0E584BAC"/>
    <w:rsid w:val="0E657C27"/>
    <w:rsid w:val="0E6F5AE4"/>
    <w:rsid w:val="0F295122"/>
    <w:rsid w:val="0F737926"/>
    <w:rsid w:val="0FB41357"/>
    <w:rsid w:val="0FC4342F"/>
    <w:rsid w:val="0FD842B9"/>
    <w:rsid w:val="109727D5"/>
    <w:rsid w:val="110A1A2C"/>
    <w:rsid w:val="115757A1"/>
    <w:rsid w:val="116F5C04"/>
    <w:rsid w:val="12A51367"/>
    <w:rsid w:val="12E91644"/>
    <w:rsid w:val="134A2A5C"/>
    <w:rsid w:val="14237276"/>
    <w:rsid w:val="14617168"/>
    <w:rsid w:val="14CD79A1"/>
    <w:rsid w:val="14D62682"/>
    <w:rsid w:val="150A4EC2"/>
    <w:rsid w:val="16251F17"/>
    <w:rsid w:val="16BB27C5"/>
    <w:rsid w:val="170F5318"/>
    <w:rsid w:val="17C1593A"/>
    <w:rsid w:val="17EE274F"/>
    <w:rsid w:val="18587237"/>
    <w:rsid w:val="18B0796E"/>
    <w:rsid w:val="1954264F"/>
    <w:rsid w:val="198D7398"/>
    <w:rsid w:val="19BC4FBC"/>
    <w:rsid w:val="1A3E70FE"/>
    <w:rsid w:val="1B4712F0"/>
    <w:rsid w:val="1B4F0EED"/>
    <w:rsid w:val="1C3702DE"/>
    <w:rsid w:val="1C7C2462"/>
    <w:rsid w:val="1E2D3F6E"/>
    <w:rsid w:val="1EE14947"/>
    <w:rsid w:val="1EFE0DB5"/>
    <w:rsid w:val="1F1E1208"/>
    <w:rsid w:val="1F870B43"/>
    <w:rsid w:val="2048414C"/>
    <w:rsid w:val="20693014"/>
    <w:rsid w:val="207529FA"/>
    <w:rsid w:val="20990555"/>
    <w:rsid w:val="20E90A81"/>
    <w:rsid w:val="21123213"/>
    <w:rsid w:val="21903A95"/>
    <w:rsid w:val="21962081"/>
    <w:rsid w:val="2229020F"/>
    <w:rsid w:val="223C1851"/>
    <w:rsid w:val="22661144"/>
    <w:rsid w:val="22674EC3"/>
    <w:rsid w:val="227304A1"/>
    <w:rsid w:val="22E17285"/>
    <w:rsid w:val="240000FA"/>
    <w:rsid w:val="248357EF"/>
    <w:rsid w:val="248E4BF2"/>
    <w:rsid w:val="24A82FFA"/>
    <w:rsid w:val="25544765"/>
    <w:rsid w:val="25FB1FBE"/>
    <w:rsid w:val="266D5C1E"/>
    <w:rsid w:val="26F90FF6"/>
    <w:rsid w:val="2751284A"/>
    <w:rsid w:val="27F16C9A"/>
    <w:rsid w:val="285E2A37"/>
    <w:rsid w:val="297B3001"/>
    <w:rsid w:val="29F63F81"/>
    <w:rsid w:val="2A1E6E5A"/>
    <w:rsid w:val="2C183FD7"/>
    <w:rsid w:val="2C4B6296"/>
    <w:rsid w:val="2C72135C"/>
    <w:rsid w:val="2CB16B90"/>
    <w:rsid w:val="2DC95CF9"/>
    <w:rsid w:val="2E2817FD"/>
    <w:rsid w:val="30422E24"/>
    <w:rsid w:val="3046119B"/>
    <w:rsid w:val="3093636F"/>
    <w:rsid w:val="30EE0E0E"/>
    <w:rsid w:val="31613022"/>
    <w:rsid w:val="337A79CB"/>
    <w:rsid w:val="3383569F"/>
    <w:rsid w:val="346918E0"/>
    <w:rsid w:val="366C170D"/>
    <w:rsid w:val="368A5A41"/>
    <w:rsid w:val="36B444A1"/>
    <w:rsid w:val="36CB32B0"/>
    <w:rsid w:val="36D859B4"/>
    <w:rsid w:val="37176F42"/>
    <w:rsid w:val="38BD4DB8"/>
    <w:rsid w:val="38CF1BB2"/>
    <w:rsid w:val="39354792"/>
    <w:rsid w:val="393F01E1"/>
    <w:rsid w:val="39E66C6B"/>
    <w:rsid w:val="39F82C6A"/>
    <w:rsid w:val="3A062425"/>
    <w:rsid w:val="3C6F7FB2"/>
    <w:rsid w:val="3CB77D58"/>
    <w:rsid w:val="3D1B7B3A"/>
    <w:rsid w:val="3ED10BFB"/>
    <w:rsid w:val="3F00090F"/>
    <w:rsid w:val="3FA85224"/>
    <w:rsid w:val="3FD64723"/>
    <w:rsid w:val="3FD77C72"/>
    <w:rsid w:val="405A367A"/>
    <w:rsid w:val="40BB463F"/>
    <w:rsid w:val="40CB0E98"/>
    <w:rsid w:val="40E35641"/>
    <w:rsid w:val="418775C6"/>
    <w:rsid w:val="41BC486F"/>
    <w:rsid w:val="42941BA5"/>
    <w:rsid w:val="42A23DF6"/>
    <w:rsid w:val="42B11D42"/>
    <w:rsid w:val="4307413F"/>
    <w:rsid w:val="43A43479"/>
    <w:rsid w:val="43EB4FC4"/>
    <w:rsid w:val="446552B3"/>
    <w:rsid w:val="44944A50"/>
    <w:rsid w:val="44B05997"/>
    <w:rsid w:val="44C0472F"/>
    <w:rsid w:val="45160134"/>
    <w:rsid w:val="46D14F3D"/>
    <w:rsid w:val="47CC1BA9"/>
    <w:rsid w:val="47EA583B"/>
    <w:rsid w:val="48FA71E8"/>
    <w:rsid w:val="492C3F5F"/>
    <w:rsid w:val="49870971"/>
    <w:rsid w:val="49A54583"/>
    <w:rsid w:val="49AD3B71"/>
    <w:rsid w:val="49F816F1"/>
    <w:rsid w:val="4B3D224E"/>
    <w:rsid w:val="4B6154A8"/>
    <w:rsid w:val="4B78414C"/>
    <w:rsid w:val="4C8233F2"/>
    <w:rsid w:val="4CC623EF"/>
    <w:rsid w:val="4D772623"/>
    <w:rsid w:val="4DEA3919"/>
    <w:rsid w:val="4F7B3D3C"/>
    <w:rsid w:val="4FA939F8"/>
    <w:rsid w:val="4FD3675F"/>
    <w:rsid w:val="4FE405F5"/>
    <w:rsid w:val="5016687E"/>
    <w:rsid w:val="52D60BAB"/>
    <w:rsid w:val="53161063"/>
    <w:rsid w:val="5375681B"/>
    <w:rsid w:val="53D3496B"/>
    <w:rsid w:val="5432539B"/>
    <w:rsid w:val="5450449D"/>
    <w:rsid w:val="55E360ED"/>
    <w:rsid w:val="55F74942"/>
    <w:rsid w:val="560B3AFF"/>
    <w:rsid w:val="56134254"/>
    <w:rsid w:val="56B8362D"/>
    <w:rsid w:val="572C1DF7"/>
    <w:rsid w:val="57625434"/>
    <w:rsid w:val="57A9115C"/>
    <w:rsid w:val="57E3219C"/>
    <w:rsid w:val="58120E67"/>
    <w:rsid w:val="5880377B"/>
    <w:rsid w:val="59174912"/>
    <w:rsid w:val="5A8947F5"/>
    <w:rsid w:val="5AF32F5B"/>
    <w:rsid w:val="5C6C345B"/>
    <w:rsid w:val="5C896BC2"/>
    <w:rsid w:val="5CB52EB5"/>
    <w:rsid w:val="5D111B23"/>
    <w:rsid w:val="5D2B2316"/>
    <w:rsid w:val="5DD92140"/>
    <w:rsid w:val="5E4F08BD"/>
    <w:rsid w:val="5ECA2AC1"/>
    <w:rsid w:val="5EF323D3"/>
    <w:rsid w:val="5F1C0080"/>
    <w:rsid w:val="60E9687D"/>
    <w:rsid w:val="618C24E9"/>
    <w:rsid w:val="619B6567"/>
    <w:rsid w:val="62BD45ED"/>
    <w:rsid w:val="62E82BFF"/>
    <w:rsid w:val="63742C1B"/>
    <w:rsid w:val="63DF786E"/>
    <w:rsid w:val="648064FC"/>
    <w:rsid w:val="64F46F91"/>
    <w:rsid w:val="65052337"/>
    <w:rsid w:val="655119E1"/>
    <w:rsid w:val="65AB1722"/>
    <w:rsid w:val="65C6134F"/>
    <w:rsid w:val="65EB14CB"/>
    <w:rsid w:val="661900C5"/>
    <w:rsid w:val="66B96673"/>
    <w:rsid w:val="66BD57E4"/>
    <w:rsid w:val="672700D6"/>
    <w:rsid w:val="6743782B"/>
    <w:rsid w:val="67B32441"/>
    <w:rsid w:val="67B52289"/>
    <w:rsid w:val="685B2579"/>
    <w:rsid w:val="6891724C"/>
    <w:rsid w:val="69092D09"/>
    <w:rsid w:val="695E4E50"/>
    <w:rsid w:val="69887795"/>
    <w:rsid w:val="6AD0211F"/>
    <w:rsid w:val="6B882441"/>
    <w:rsid w:val="6B8E6205"/>
    <w:rsid w:val="6C736958"/>
    <w:rsid w:val="6D912533"/>
    <w:rsid w:val="6EC704B6"/>
    <w:rsid w:val="6F681FED"/>
    <w:rsid w:val="6F7275D3"/>
    <w:rsid w:val="700149B1"/>
    <w:rsid w:val="70104C91"/>
    <w:rsid w:val="70D71037"/>
    <w:rsid w:val="71083CF5"/>
    <w:rsid w:val="710D35F9"/>
    <w:rsid w:val="721F60DF"/>
    <w:rsid w:val="72793C31"/>
    <w:rsid w:val="73761FE1"/>
    <w:rsid w:val="73822BC2"/>
    <w:rsid w:val="73E60F95"/>
    <w:rsid w:val="741C7BCF"/>
    <w:rsid w:val="754A5389"/>
    <w:rsid w:val="76192A6F"/>
    <w:rsid w:val="761B1A99"/>
    <w:rsid w:val="77374B14"/>
    <w:rsid w:val="778C6A44"/>
    <w:rsid w:val="77D80DD1"/>
    <w:rsid w:val="78356D77"/>
    <w:rsid w:val="786662BA"/>
    <w:rsid w:val="78996027"/>
    <w:rsid w:val="78A475CC"/>
    <w:rsid w:val="78D30C3E"/>
    <w:rsid w:val="791C643F"/>
    <w:rsid w:val="79990112"/>
    <w:rsid w:val="799D200B"/>
    <w:rsid w:val="7A7B1FDE"/>
    <w:rsid w:val="7A9000FB"/>
    <w:rsid w:val="7B3D2B5A"/>
    <w:rsid w:val="7B5A7C1B"/>
    <w:rsid w:val="7BF52D2C"/>
    <w:rsid w:val="7C445B3C"/>
    <w:rsid w:val="7D576F8F"/>
    <w:rsid w:val="7D7059C6"/>
    <w:rsid w:val="7DFC7A36"/>
    <w:rsid w:val="7E7C6811"/>
    <w:rsid w:val="7F020F1E"/>
    <w:rsid w:val="7FBD4A22"/>
    <w:rsid w:val="7FFE6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jc w:val="left"/>
      <w:outlineLvl w:val="0"/>
    </w:pPr>
    <w:rPr>
      <w:rFonts w:eastAsia="宋体"/>
      <w:b/>
      <w:bCs/>
      <w:kern w:val="44"/>
      <w:sz w:val="32"/>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qFormat/>
    <w:uiPriority w:val="0"/>
    <w:pPr>
      <w:jc w:val="left"/>
    </w:pPr>
  </w:style>
  <w:style w:type="paragraph" w:styleId="5">
    <w:name w:val="Body Text"/>
    <w:basedOn w:val="1"/>
    <w:qFormat/>
    <w:uiPriority w:val="0"/>
    <w:pPr>
      <w:spacing w:after="120"/>
    </w:pPr>
    <w:rPr>
      <w:rFonts w:eastAsia="方正仿宋_GBK"/>
      <w:sz w:val="33"/>
      <w:szCs w:val="33"/>
    </w:r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rFonts w:eastAsia="宋体"/>
      <w:sz w:val="21"/>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9">
    <w:name w:val="toc 1"/>
    <w:basedOn w:val="1"/>
    <w:next w:val="1"/>
    <w:qFormat/>
    <w:uiPriority w:val="39"/>
    <w:pPr>
      <w:tabs>
        <w:tab w:val="right" w:leader="dot" w:pos="8850"/>
      </w:tabs>
      <w:spacing w:line="600" w:lineRule="exact"/>
    </w:pPr>
    <w:rPr>
      <w:rFonts w:ascii="仿宋_GB2312" w:hAnsi="仿宋" w:eastAsia="宋体"/>
      <w:color w:val="000000"/>
    </w:rPr>
  </w:style>
  <w:style w:type="paragraph" w:styleId="10">
    <w:name w:val="Normal (Web)"/>
    <w:basedOn w:val="1"/>
    <w:qFormat/>
    <w:uiPriority w:val="0"/>
    <w:pPr>
      <w:jc w:val="left"/>
    </w:pPr>
    <w:rPr>
      <w:kern w:val="0"/>
      <w:sz w:val="24"/>
    </w:rPr>
  </w:style>
  <w:style w:type="paragraph" w:styleId="11">
    <w:name w:val="annotation subject"/>
    <w:basedOn w:val="4"/>
    <w:next w:val="4"/>
    <w:link w:val="30"/>
    <w:qFormat/>
    <w:uiPriority w:val="0"/>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qFormat/>
    <w:uiPriority w:val="0"/>
    <w:rPr>
      <w:rFonts w:ascii="Times New Roman" w:hAnsi="Times New Roman" w:eastAsia="宋体" w:cs="Times New Roman"/>
    </w:rPr>
  </w:style>
  <w:style w:type="character" w:styleId="16">
    <w:name w:val="FollowedHyperlink"/>
    <w:basedOn w:val="14"/>
    <w:qFormat/>
    <w:uiPriority w:val="0"/>
    <w:rPr>
      <w:color w:val="333333"/>
      <w:u w:val="none"/>
    </w:rPr>
  </w:style>
  <w:style w:type="character" w:styleId="17">
    <w:name w:val="Emphasis"/>
    <w:basedOn w:val="14"/>
    <w:qFormat/>
    <w:uiPriority w:val="0"/>
  </w:style>
  <w:style w:type="character" w:styleId="18">
    <w:name w:val="HTML Definition"/>
    <w:basedOn w:val="14"/>
    <w:qFormat/>
    <w:uiPriority w:val="0"/>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unhideWhenUsed/>
    <w:qFormat/>
    <w:uiPriority w:val="99"/>
    <w:rPr>
      <w:color w:val="0563C1" w:themeColor="hyperlink"/>
      <w:u w:val="single"/>
    </w:rPr>
  </w:style>
  <w:style w:type="character" w:styleId="22">
    <w:name w:val="HTML Code"/>
    <w:basedOn w:val="14"/>
    <w:qFormat/>
    <w:uiPriority w:val="0"/>
    <w:rPr>
      <w:rFonts w:ascii="Courier New" w:hAnsi="Courier New"/>
      <w:sz w:val="20"/>
    </w:rPr>
  </w:style>
  <w:style w:type="character" w:styleId="23">
    <w:name w:val="annotation reference"/>
    <w:basedOn w:val="14"/>
    <w:qFormat/>
    <w:uiPriority w:val="0"/>
    <w:rPr>
      <w:sz w:val="21"/>
      <w:szCs w:val="21"/>
    </w:rPr>
  </w:style>
  <w:style w:type="character" w:styleId="24">
    <w:name w:val="HTML Cite"/>
    <w:basedOn w:val="14"/>
    <w:qFormat/>
    <w:uiPriority w:val="0"/>
  </w:style>
  <w:style w:type="paragraph" w:customStyle="1" w:styleId="25">
    <w:name w:val="样式 样式 标题 2 + 段前: 5 磅 段后: 5 磅 + 段前: 0.5 行 段后: 0.5 行"/>
    <w:basedOn w:val="26"/>
    <w:link w:val="31"/>
    <w:qFormat/>
    <w:uiPriority w:val="0"/>
    <w:rPr>
      <w:rFonts w:cs="Times New Roman"/>
    </w:rPr>
  </w:style>
  <w:style w:type="paragraph" w:customStyle="1" w:styleId="26">
    <w:name w:val="样式 标题 1 + 段前: 5 磅 段后: 5 磅"/>
    <w:basedOn w:val="2"/>
    <w:qFormat/>
    <w:uiPriority w:val="0"/>
    <w:pPr>
      <w:spacing w:beforeLines="50" w:afterLines="50" w:line="596" w:lineRule="exact"/>
    </w:pPr>
    <w:rPr>
      <w:rFonts w:cs="宋体"/>
      <w:szCs w:val="20"/>
    </w:rPr>
  </w:style>
  <w:style w:type="paragraph" w:customStyle="1" w:styleId="27">
    <w:name w:val="reader-word-layer reader-word-s4-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28">
    <w:name w:val="批注框文本 Char"/>
    <w:basedOn w:val="14"/>
    <w:link w:val="6"/>
    <w:qFormat/>
    <w:uiPriority w:val="0"/>
    <w:rPr>
      <w:rFonts w:eastAsia="仿宋_GB2312"/>
      <w:kern w:val="2"/>
      <w:sz w:val="18"/>
      <w:szCs w:val="18"/>
    </w:rPr>
  </w:style>
  <w:style w:type="character" w:customStyle="1" w:styleId="29">
    <w:name w:val="批注文字 Char"/>
    <w:basedOn w:val="14"/>
    <w:link w:val="4"/>
    <w:qFormat/>
    <w:uiPriority w:val="0"/>
    <w:rPr>
      <w:rFonts w:eastAsia="仿宋_GB2312"/>
      <w:kern w:val="2"/>
      <w:sz w:val="30"/>
      <w:szCs w:val="24"/>
    </w:rPr>
  </w:style>
  <w:style w:type="character" w:customStyle="1" w:styleId="30">
    <w:name w:val="批注主题 Char"/>
    <w:basedOn w:val="29"/>
    <w:link w:val="11"/>
    <w:qFormat/>
    <w:uiPriority w:val="0"/>
    <w:rPr>
      <w:rFonts w:eastAsia="仿宋_GB2312"/>
      <w:b/>
      <w:bCs/>
      <w:kern w:val="2"/>
      <w:sz w:val="30"/>
      <w:szCs w:val="24"/>
    </w:rPr>
  </w:style>
  <w:style w:type="character" w:customStyle="1" w:styleId="31">
    <w:name w:val="样式 样式 标题 2 + 段前: 5 磅 段后: 5 磅 + 段前: 0.5 行 段后: 0.5 行 Char"/>
    <w:link w:val="25"/>
    <w:qFormat/>
    <w:uiPriority w:val="0"/>
    <w:rPr>
      <w:rFonts w:cs="Times New Roman"/>
    </w:rPr>
  </w:style>
  <w:style w:type="character" w:customStyle="1" w:styleId="32">
    <w:name w:val="tyhl"/>
    <w:basedOn w:val="14"/>
    <w:qFormat/>
    <w:uiPriority w:val="0"/>
    <w:rPr>
      <w:shd w:val="clear" w:color="auto" w:fill="FFFFFF"/>
    </w:rPr>
  </w:style>
  <w:style w:type="character" w:customStyle="1" w:styleId="33">
    <w:name w:val="cur"/>
    <w:basedOn w:val="14"/>
    <w:qFormat/>
    <w:uiPriority w:val="0"/>
    <w:rPr>
      <w:shd w:val="clear" w:color="auto" w:fill="84B5FF"/>
    </w:rPr>
  </w:style>
  <w:style w:type="character" w:customStyle="1" w:styleId="34">
    <w:name w:val="cur1"/>
    <w:basedOn w:val="14"/>
    <w:qFormat/>
    <w:uiPriority w:val="0"/>
    <w:rPr>
      <w:color w:val="3354A2"/>
    </w:rPr>
  </w:style>
  <w:style w:type="character" w:customStyle="1" w:styleId="35">
    <w:name w:val="yjr"/>
    <w:basedOn w:val="14"/>
    <w:qFormat/>
    <w:uiPriority w:val="0"/>
  </w:style>
  <w:style w:type="character" w:customStyle="1" w:styleId="36">
    <w:name w:val="tit18"/>
    <w:basedOn w:val="14"/>
    <w:qFormat/>
    <w:uiPriority w:val="0"/>
    <w:rPr>
      <w:b/>
      <w:color w:val="333333"/>
      <w:sz w:val="19"/>
      <w:szCs w:val="19"/>
    </w:rPr>
  </w:style>
  <w:style w:type="character" w:customStyle="1" w:styleId="37">
    <w:name w:val="yj-blue"/>
    <w:basedOn w:val="14"/>
    <w:qFormat/>
    <w:uiPriority w:val="0"/>
    <w:rPr>
      <w:b/>
      <w:color w:val="FFFFFF"/>
      <w:sz w:val="10"/>
      <w:szCs w:val="10"/>
      <w:shd w:val="clear" w:color="auto" w:fill="1E84CB"/>
    </w:rPr>
  </w:style>
  <w:style w:type="character" w:customStyle="1" w:styleId="38">
    <w:name w:val="name4"/>
    <w:basedOn w:val="14"/>
    <w:qFormat/>
    <w:uiPriority w:val="0"/>
    <w:rPr>
      <w:color w:val="2760B7"/>
    </w:rPr>
  </w:style>
  <w:style w:type="character" w:customStyle="1" w:styleId="39">
    <w:name w:val="con5"/>
    <w:basedOn w:val="14"/>
    <w:qFormat/>
    <w:uiPriority w:val="0"/>
  </w:style>
  <w:style w:type="character" w:customStyle="1" w:styleId="40">
    <w:name w:val="hover44"/>
    <w:basedOn w:val="14"/>
    <w:qFormat/>
    <w:uiPriority w:val="0"/>
    <w:rPr>
      <w:b/>
    </w:rPr>
  </w:style>
  <w:style w:type="character" w:customStyle="1" w:styleId="41">
    <w:name w:val="w100"/>
    <w:basedOn w:val="14"/>
    <w:qFormat/>
    <w:uiPriority w:val="0"/>
  </w:style>
  <w:style w:type="character" w:customStyle="1" w:styleId="42">
    <w:name w:val="red"/>
    <w:basedOn w:val="14"/>
    <w:qFormat/>
    <w:uiPriority w:val="0"/>
    <w:rPr>
      <w:color w:val="E1211F"/>
    </w:rPr>
  </w:style>
  <w:style w:type="character" w:customStyle="1" w:styleId="43">
    <w:name w:val="red1"/>
    <w:basedOn w:val="14"/>
    <w:qFormat/>
    <w:uiPriority w:val="0"/>
    <w:rPr>
      <w:color w:val="E1211F"/>
    </w:rPr>
  </w:style>
  <w:style w:type="character" w:customStyle="1" w:styleId="44">
    <w:name w:val="red2"/>
    <w:basedOn w:val="14"/>
    <w:qFormat/>
    <w:uiPriority w:val="0"/>
    <w:rPr>
      <w:color w:val="E33938"/>
      <w:u w:val="single"/>
    </w:rPr>
  </w:style>
  <w:style w:type="character" w:customStyle="1" w:styleId="45">
    <w:name w:val="red3"/>
    <w:basedOn w:val="14"/>
    <w:qFormat/>
    <w:uiPriority w:val="0"/>
    <w:rPr>
      <w:color w:val="E1211F"/>
      <w:u w:val="single"/>
    </w:rPr>
  </w:style>
  <w:style w:type="character" w:customStyle="1" w:styleId="46">
    <w:name w:val="red4"/>
    <w:basedOn w:val="14"/>
    <w:qFormat/>
    <w:uiPriority w:val="0"/>
    <w:rPr>
      <w:color w:val="E1211F"/>
    </w:rPr>
  </w:style>
  <w:style w:type="character" w:customStyle="1" w:styleId="47">
    <w:name w:val="yj-time"/>
    <w:basedOn w:val="14"/>
    <w:qFormat/>
    <w:uiPriority w:val="0"/>
    <w:rPr>
      <w:color w:val="AAAAAA"/>
      <w:sz w:val="9"/>
      <w:szCs w:val="9"/>
    </w:rPr>
  </w:style>
  <w:style w:type="character" w:customStyle="1" w:styleId="48">
    <w:name w:val="yj-time1"/>
    <w:basedOn w:val="14"/>
    <w:qFormat/>
    <w:uiPriority w:val="0"/>
    <w:rPr>
      <w:color w:val="AAAAAA"/>
      <w:sz w:val="9"/>
      <w:szCs w:val="9"/>
    </w:rPr>
  </w:style>
  <w:style w:type="character" w:customStyle="1" w:styleId="49">
    <w:name w:val="yjl"/>
    <w:basedOn w:val="14"/>
    <w:qFormat/>
    <w:uiPriority w:val="0"/>
    <w:rPr>
      <w:color w:val="999999"/>
    </w:rPr>
  </w:style>
  <w:style w:type="character" w:customStyle="1" w:styleId="50">
    <w:name w:val="red5"/>
    <w:basedOn w:val="14"/>
    <w:qFormat/>
    <w:uiPriority w:val="0"/>
    <w:rPr>
      <w:color w:val="E1211F"/>
    </w:rPr>
  </w:style>
  <w:style w:type="character" w:customStyle="1" w:styleId="51">
    <w:name w:val="cur14"/>
    <w:basedOn w:val="14"/>
    <w:qFormat/>
    <w:uiPriority w:val="0"/>
    <w:rPr>
      <w:shd w:val="clear" w:color="auto" w:fill="84B5FF"/>
    </w:rPr>
  </w:style>
  <w:style w:type="character" w:customStyle="1" w:styleId="52">
    <w:name w:val="cur15"/>
    <w:basedOn w:val="14"/>
    <w:qFormat/>
    <w:uiPriority w:val="0"/>
    <w:rPr>
      <w:color w:val="3354A2"/>
    </w:rPr>
  </w:style>
  <w:style w:type="character" w:customStyle="1" w:styleId="53">
    <w:name w:val="con4"/>
    <w:basedOn w:val="14"/>
    <w:qFormat/>
    <w:uiPriority w:val="0"/>
  </w:style>
  <w:style w:type="character" w:customStyle="1" w:styleId="54">
    <w:name w:val="hover"/>
    <w:basedOn w:val="14"/>
    <w:qFormat/>
    <w:uiPriority w:val="0"/>
    <w:rPr>
      <w:color w:val="0068B7"/>
    </w:rPr>
  </w:style>
  <w:style w:type="character" w:customStyle="1" w:styleId="55">
    <w:name w:val="hover1"/>
    <w:basedOn w:val="14"/>
    <w:qFormat/>
    <w:uiPriority w:val="0"/>
    <w:rPr>
      <w:b/>
      <w:color w:val="FFFFFF"/>
    </w:rPr>
  </w:style>
  <w:style w:type="character" w:customStyle="1" w:styleId="56">
    <w:name w:val="s1"/>
    <w:basedOn w:val="14"/>
    <w:qFormat/>
    <w:uiPriority w:val="0"/>
  </w:style>
  <w:style w:type="character" w:customStyle="1" w:styleId="57">
    <w:name w:val="s11"/>
    <w:basedOn w:val="14"/>
    <w:qFormat/>
    <w:uiPriority w:val="0"/>
  </w:style>
  <w:style w:type="character" w:customStyle="1" w:styleId="58">
    <w:name w:val="ly"/>
    <w:basedOn w:val="14"/>
    <w:qFormat/>
    <w:uiPriority w:val="0"/>
    <w:rPr>
      <w:color w:val="999999"/>
      <w:sz w:val="10"/>
      <w:szCs w:val="10"/>
    </w:rPr>
  </w:style>
  <w:style w:type="character" w:customStyle="1" w:styleId="59">
    <w:name w:val="s2"/>
    <w:basedOn w:val="14"/>
    <w:qFormat/>
    <w:uiPriority w:val="0"/>
  </w:style>
  <w:style w:type="character" w:customStyle="1" w:styleId="60">
    <w:name w:val="s5"/>
    <w:basedOn w:val="14"/>
    <w:qFormat/>
    <w:uiPriority w:val="0"/>
  </w:style>
  <w:style w:type="character" w:customStyle="1" w:styleId="61">
    <w:name w:val="s3"/>
    <w:basedOn w:val="14"/>
    <w:qFormat/>
    <w:uiPriority w:val="0"/>
  </w:style>
  <w:style w:type="character" w:customStyle="1" w:styleId="62">
    <w:name w:val="s4"/>
    <w:basedOn w:val="14"/>
    <w:qFormat/>
    <w:uiPriority w:val="0"/>
  </w:style>
  <w:style w:type="character" w:customStyle="1" w:styleId="63">
    <w:name w:val="prev"/>
    <w:basedOn w:val="14"/>
    <w:qFormat/>
    <w:uiPriority w:val="0"/>
  </w:style>
  <w:style w:type="character" w:customStyle="1" w:styleId="64">
    <w:name w:val="next"/>
    <w:basedOn w:val="14"/>
    <w:qFormat/>
    <w:uiPriority w:val="0"/>
  </w:style>
  <w:style w:type="character" w:customStyle="1" w:styleId="65">
    <w:name w:val="font21"/>
    <w:basedOn w:val="14"/>
    <w:qFormat/>
    <w:uiPriority w:val="0"/>
    <w:rPr>
      <w:rFonts w:hint="eastAsia" w:ascii="仿宋" w:hAnsi="仿宋" w:eastAsia="仿宋" w:cs="仿宋"/>
      <w:b/>
      <w:color w:val="000000"/>
      <w:sz w:val="22"/>
      <w:szCs w:val="22"/>
      <w:u w:val="none"/>
    </w:rPr>
  </w:style>
  <w:style w:type="character" w:customStyle="1" w:styleId="66">
    <w:name w:val="current"/>
    <w:basedOn w:val="14"/>
    <w:qFormat/>
    <w:uiPriority w:val="0"/>
    <w:rPr>
      <w:b/>
      <w:color w:val="FFFFFF"/>
      <w:bdr w:val="single" w:color="1485FF" w:sz="6" w:space="0"/>
      <w:shd w:val="clear" w:color="auto" w:fill="1485FF"/>
    </w:rPr>
  </w:style>
  <w:style w:type="character" w:customStyle="1" w:styleId="67">
    <w:name w:val="current1"/>
    <w:basedOn w:val="14"/>
    <w:qFormat/>
    <w:uiPriority w:val="0"/>
    <w:rPr>
      <w:b/>
      <w:color w:val="FFFFFF"/>
      <w:bdr w:val="single" w:color="C5C5C5" w:sz="6" w:space="0"/>
      <w:shd w:val="clear" w:color="auto" w:fill="278100"/>
    </w:rPr>
  </w:style>
  <w:style w:type="character" w:customStyle="1" w:styleId="68">
    <w:name w:val="disabled"/>
    <w:basedOn w:val="14"/>
    <w:qFormat/>
    <w:uiPriority w:val="0"/>
    <w:rPr>
      <w:color w:val="C0C0C0"/>
      <w:bdr w:val="single" w:color="C5C5C5" w:sz="6" w:space="0"/>
    </w:rPr>
  </w:style>
  <w:style w:type="character" w:customStyle="1" w:styleId="69">
    <w:name w:val="disabled1"/>
    <w:basedOn w:val="14"/>
    <w:qFormat/>
    <w:uiPriority w:val="0"/>
    <w:rPr>
      <w:color w:val="999999"/>
      <w:bdr w:val="single" w:color="C5C5C5" w:sz="6" w:space="0"/>
    </w:rPr>
  </w:style>
  <w:style w:type="character" w:customStyle="1" w:styleId="70">
    <w:name w:val="chljeg"/>
    <w:basedOn w:val="14"/>
    <w:qFormat/>
    <w:uiPriority w:val="0"/>
    <w:rPr>
      <w:color w:val="E70000"/>
    </w:rPr>
  </w:style>
  <w:style w:type="character" w:customStyle="1" w:styleId="71">
    <w:name w:val="name"/>
    <w:basedOn w:val="14"/>
    <w:qFormat/>
    <w:uiPriority w:val="0"/>
  </w:style>
  <w:style w:type="character" w:customStyle="1" w:styleId="72">
    <w:name w:val="xjbm"/>
    <w:basedOn w:val="14"/>
    <w:qFormat/>
    <w:uiPriority w:val="0"/>
  </w:style>
  <w:style w:type="character" w:customStyle="1" w:styleId="73">
    <w:name w:val="shenhe"/>
    <w:basedOn w:val="14"/>
    <w:qFormat/>
    <w:uiPriority w:val="0"/>
    <w:rPr>
      <w:color w:val="007E09"/>
    </w:rPr>
  </w:style>
  <w:style w:type="character" w:customStyle="1" w:styleId="74">
    <w:name w:val="huifu"/>
    <w:basedOn w:val="14"/>
    <w:qFormat/>
    <w:uiPriority w:val="0"/>
  </w:style>
  <w:style w:type="character" w:customStyle="1" w:styleId="75">
    <w:name w:val="dengji"/>
    <w:basedOn w:val="14"/>
    <w:qFormat/>
    <w:uiPriority w:val="0"/>
  </w:style>
  <w:style w:type="character" w:customStyle="1" w:styleId="76">
    <w:name w:val="dengji1"/>
    <w:basedOn w:val="14"/>
    <w:qFormat/>
    <w:uiPriority w:val="0"/>
  </w:style>
  <w:style w:type="character" w:customStyle="1" w:styleId="77">
    <w:name w:val="paim"/>
    <w:basedOn w:val="14"/>
    <w:qFormat/>
    <w:uiPriority w:val="0"/>
  </w:style>
  <w:style w:type="character" w:customStyle="1" w:styleId="78">
    <w:name w:val="bsharetext"/>
    <w:basedOn w:val="14"/>
    <w:qFormat/>
    <w:uiPriority w:val="0"/>
  </w:style>
  <w:style w:type="paragraph" w:customStyle="1" w:styleId="79">
    <w:name w:val="p0"/>
    <w:basedOn w:val="1"/>
    <w:qFormat/>
    <w:uiPriority w:val="0"/>
    <w:pPr>
      <w:widowControl/>
    </w:pPr>
    <w:rPr>
      <w:kern w:val="0"/>
      <w:szCs w:val="21"/>
    </w:rPr>
  </w:style>
  <w:style w:type="character" w:customStyle="1" w:styleId="80">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6007B-7609-4920-9B53-7DEFDEB43FC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1500</Words>
  <Characters>8552</Characters>
  <Lines>71</Lines>
  <Paragraphs>20</Paragraphs>
  <TotalTime>425</TotalTime>
  <ScaleCrop>false</ScaleCrop>
  <LinksUpToDate>false</LinksUpToDate>
  <CharactersWithSpaces>10032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2019-08-15T07:20:00Z</dcterms:created>
  <dc:creator>阿怪</dc:creator>
  <cp:lastModifiedBy>Mr.Yuan</cp:lastModifiedBy>
  <cp:lastPrinted>2021-01-28T02:06:00Z</cp:lastPrinted>
  <dcterms:modified xsi:type="dcterms:W3CDTF">2021-12-28T03:53:59Z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243060902_btnclosed</vt:lpwstr>
  </property>
  <property fmtid="{D5CDD505-2E9C-101B-9397-08002B2CF9AE}" pid="4" name="ICV">
    <vt:lpwstr>41636C6DE3754A98A17434CF32525735</vt:lpwstr>
  </property>
</Properties>
</file>