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
          <w:b/>
          <w:szCs w:val="30"/>
        </w:rPr>
      </w:pPr>
    </w:p>
    <w:p>
      <w:pPr>
        <w:spacing w:line="560" w:lineRule="exact"/>
        <w:jc w:val="left"/>
        <w:rPr>
          <w:rFonts w:ascii="仿宋_GB2312" w:hAnsi="仿宋"/>
          <w:b/>
          <w:szCs w:val="30"/>
        </w:rPr>
      </w:pPr>
    </w:p>
    <w:p>
      <w:pPr>
        <w:spacing w:beforeLines="100" w:line="560" w:lineRule="exact"/>
        <w:rPr>
          <w:rFonts w:ascii="仿宋_GB2312" w:hAnsi="仿宋"/>
          <w:b/>
          <w:sz w:val="24"/>
          <w:szCs w:val="24"/>
        </w:rPr>
      </w:pPr>
      <w:bookmarkStart w:id="0" w:name="_Hlk16774390"/>
      <w:bookmarkEnd w:id="0"/>
    </w:p>
    <w:p>
      <w:pPr>
        <w:pStyle w:val="2"/>
      </w:pPr>
    </w:p>
    <w:p>
      <w:pPr>
        <w:spacing w:line="360" w:lineRule="auto"/>
        <w:ind w:left="150" w:leftChars="50" w:right="150" w:rightChars="50"/>
        <w:jc w:val="center"/>
        <w:rPr>
          <w:rFonts w:ascii="仿宋" w:hAnsi="仿宋" w:eastAsia="仿宋" w:cs="仿宋"/>
          <w:b/>
          <w:sz w:val="36"/>
          <w:szCs w:val="36"/>
        </w:rPr>
      </w:pPr>
      <w:r>
        <w:rPr>
          <w:rFonts w:hint="eastAsia" w:ascii="仿宋" w:hAnsi="仿宋" w:eastAsia="仿宋" w:cs="仿宋"/>
          <w:b/>
          <w:sz w:val="36"/>
          <w:szCs w:val="36"/>
        </w:rPr>
        <w:t>巫溪县2019年城市环境卫生管理项目</w:t>
      </w:r>
    </w:p>
    <w:p>
      <w:pPr>
        <w:spacing w:line="360" w:lineRule="auto"/>
        <w:ind w:left="150" w:leftChars="50" w:right="150" w:rightChars="50"/>
        <w:jc w:val="center"/>
        <w:rPr>
          <w:rFonts w:ascii="仿宋" w:hAnsi="仿宋" w:eastAsia="仿宋" w:cs="仿宋"/>
          <w:b/>
          <w:bCs/>
          <w:sz w:val="48"/>
          <w:szCs w:val="48"/>
        </w:rPr>
      </w:pPr>
      <w:r>
        <w:rPr>
          <w:rFonts w:hint="eastAsia" w:ascii="仿宋" w:hAnsi="仿宋" w:eastAsia="仿宋" w:cs="仿宋"/>
          <w:b/>
          <w:bCs/>
          <w:sz w:val="48"/>
          <w:szCs w:val="48"/>
        </w:rPr>
        <w:t>绩 效 评 价 报 告</w:t>
      </w:r>
    </w:p>
    <w:p>
      <w:pPr>
        <w:spacing w:beforeLines="100" w:afterLines="100" w:line="560" w:lineRule="exact"/>
        <w:jc w:val="center"/>
        <w:rPr>
          <w:rFonts w:ascii="仿宋_GB2312" w:hAnsi="宋体" w:cs="Arial"/>
          <w:b/>
          <w:spacing w:val="-10"/>
          <w:szCs w:val="30"/>
        </w:rPr>
      </w:pPr>
      <w:r>
        <w:rPr>
          <w:rFonts w:hint="eastAsia" w:ascii="仿宋_GB2312" w:hAnsi="仿宋" w:cs="Arial"/>
          <w:b/>
          <w:iCs/>
          <w:szCs w:val="30"/>
        </w:rPr>
        <w:t>重通会所咨</w:t>
      </w:r>
      <w:r>
        <w:rPr>
          <w:rFonts w:hint="eastAsia" w:ascii="仿宋" w:hAnsi="仿宋" w:eastAsia="仿宋" w:cs="仿宋"/>
          <w:b/>
          <w:iCs/>
          <w:szCs w:val="30"/>
        </w:rPr>
        <w:t>〔</w:t>
      </w:r>
      <w:r>
        <w:rPr>
          <w:rFonts w:hint="eastAsia" w:ascii="仿宋_GB2312" w:hAnsi="仿宋" w:cs="Arial"/>
          <w:b/>
          <w:iCs/>
          <w:szCs w:val="30"/>
        </w:rPr>
        <w:t>2020</w:t>
      </w:r>
      <w:r>
        <w:rPr>
          <w:rFonts w:hint="eastAsia" w:ascii="仿宋" w:hAnsi="仿宋" w:eastAsia="仿宋" w:cs="仿宋"/>
          <w:b/>
          <w:iCs/>
          <w:szCs w:val="30"/>
        </w:rPr>
        <w:t>〕</w:t>
      </w:r>
      <w:r>
        <w:rPr>
          <w:rFonts w:hint="eastAsia" w:ascii="仿宋_GB2312" w:hAnsi="仿宋" w:cs="Arial"/>
          <w:b/>
          <w:iCs/>
          <w:szCs w:val="30"/>
          <w:lang w:val="en-US" w:eastAsia="zh-CN"/>
        </w:rPr>
        <w:t>080</w:t>
      </w:r>
      <w:r>
        <w:rPr>
          <w:rFonts w:hint="eastAsia" w:ascii="仿宋_GB2312" w:hAnsi="仿宋" w:cs="Arial"/>
          <w:b/>
          <w:iCs/>
          <w:szCs w:val="30"/>
        </w:rPr>
        <w:t>号</w:t>
      </w: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仿宋"/>
          <w:b/>
          <w:sz w:val="32"/>
          <w:szCs w:val="32"/>
        </w:rPr>
      </w:pPr>
      <w:r>
        <w:rPr>
          <w:rFonts w:hint="eastAsia" w:ascii="仿宋" w:hAnsi="仿宋" w:eastAsia="仿宋" w:cs="仿宋"/>
          <w:b/>
          <w:sz w:val="36"/>
          <w:szCs w:val="36"/>
        </w:rPr>
        <w:t>重庆通冠会计师事务所有限责任公司</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二○二○年十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月</w:t>
      </w:r>
    </w:p>
    <w:p>
      <w:pPr>
        <w:pageBreakBefore/>
        <w:spacing w:beforeLines="50" w:afterLines="50"/>
        <w:jc w:val="center"/>
        <w:rPr>
          <w:rFonts w:ascii="仿宋" w:hAnsi="仿宋" w:eastAsia="仿宋"/>
          <w:b/>
          <w:sz w:val="44"/>
          <w:szCs w:val="44"/>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pageBreakBefore w:val="0"/>
        <w:spacing w:beforeLines="50" w:afterLines="50"/>
        <w:jc w:val="center"/>
        <w:rPr>
          <w:rFonts w:ascii="仿宋" w:hAnsi="仿宋" w:eastAsia="仿宋"/>
          <w:sz w:val="44"/>
          <w:szCs w:val="44"/>
        </w:rPr>
      </w:pPr>
      <w:r>
        <w:rPr>
          <w:rFonts w:hint="eastAsia" w:ascii="仿宋" w:hAnsi="仿宋" w:eastAsia="仿宋"/>
          <w:b/>
          <w:sz w:val="44"/>
          <w:szCs w:val="44"/>
        </w:rPr>
        <w:t>目    录</w:t>
      </w:r>
    </w:p>
    <w:p>
      <w:pPr>
        <w:pStyle w:val="10"/>
        <w:tabs>
          <w:tab w:val="right" w:leader="dot" w:pos="8786"/>
          <w:tab w:val="clear" w:pos="8850"/>
        </w:tabs>
      </w:pPr>
      <w:r>
        <w:rPr>
          <w:rFonts w:hint="eastAsia" w:ascii="仿宋" w:eastAsia="仿宋"/>
          <w:color w:val="auto"/>
          <w:szCs w:val="30"/>
        </w:rPr>
        <w:fldChar w:fldCharType="begin"/>
      </w:r>
      <w:r>
        <w:rPr>
          <w:rFonts w:hint="eastAsia" w:ascii="仿宋" w:eastAsia="仿宋"/>
          <w:color w:val="auto"/>
          <w:szCs w:val="30"/>
        </w:rPr>
        <w:instrText xml:space="preserve"> TOC \o "1-2" \h \z \u </w:instrText>
      </w:r>
      <w:r>
        <w:rPr>
          <w:rFonts w:hint="eastAsia" w:ascii="仿宋" w:eastAsia="仿宋"/>
          <w:color w:val="auto"/>
          <w:szCs w:val="30"/>
        </w:rPr>
        <w:fldChar w:fldCharType="separate"/>
      </w:r>
    </w:p>
    <w:p>
      <w:pPr>
        <w:pStyle w:val="10"/>
        <w:tabs>
          <w:tab w:val="right" w:leader="dot" w:pos="8786"/>
          <w:tab w:val="clear" w:pos="8850"/>
        </w:tabs>
      </w:pPr>
      <w:r>
        <w:fldChar w:fldCharType="begin"/>
      </w:r>
      <w:r>
        <w:instrText xml:space="preserve"> HYPERLINK \l "_Toc27920" </w:instrText>
      </w:r>
      <w:r>
        <w:fldChar w:fldCharType="separate"/>
      </w:r>
      <w:r>
        <w:rPr>
          <w:rFonts w:hint="eastAsia" w:ascii="黑体" w:hAnsi="黑体" w:eastAsia="黑体" w:cs="黑体"/>
          <w:bCs/>
          <w:szCs w:val="32"/>
        </w:rPr>
        <w:t>一、项目总体概况</w:t>
      </w:r>
      <w:r>
        <w:tab/>
      </w:r>
      <w:r>
        <w:fldChar w:fldCharType="begin"/>
      </w:r>
      <w:r>
        <w:instrText xml:space="preserve"> PAGEREF _Toc27920 </w:instrText>
      </w:r>
      <w:r>
        <w:fldChar w:fldCharType="separate"/>
      </w:r>
      <w:r>
        <w:t>1</w:t>
      </w:r>
      <w:r>
        <w:fldChar w:fldCharType="end"/>
      </w:r>
      <w:r>
        <w:fldChar w:fldCharType="end"/>
      </w:r>
    </w:p>
    <w:p>
      <w:pPr>
        <w:pStyle w:val="10"/>
        <w:tabs>
          <w:tab w:val="right" w:leader="dot" w:pos="8786"/>
          <w:tab w:val="clear" w:pos="8850"/>
        </w:tabs>
        <w:rPr>
          <w:rFonts w:ascii="仿宋" w:eastAsia="仿宋" w:cs="仿宋"/>
        </w:rPr>
      </w:pPr>
      <w:r>
        <w:fldChar w:fldCharType="begin"/>
      </w:r>
      <w:r>
        <w:instrText xml:space="preserve"> HYPERLINK \l "_Toc12260" </w:instrText>
      </w:r>
      <w:r>
        <w:fldChar w:fldCharType="separate"/>
      </w:r>
      <w:r>
        <w:rPr>
          <w:rFonts w:hint="eastAsia" w:ascii="仿宋" w:eastAsia="仿宋" w:cs="仿宋"/>
          <w:bCs/>
          <w:szCs w:val="30"/>
        </w:rPr>
        <w:t>（</w:t>
      </w:r>
      <w:r>
        <w:rPr>
          <w:rFonts w:hint="eastAsia" w:ascii="仿宋" w:eastAsia="仿宋" w:cs="仿宋"/>
          <w:bCs/>
          <w:szCs w:val="32"/>
        </w:rPr>
        <w:t>一）项目基本情况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_Toc12260 </w:instrText>
      </w:r>
      <w:r>
        <w:rPr>
          <w:rFonts w:hint="eastAsia" w:ascii="仿宋" w:eastAsia="仿宋" w:cs="仿宋"/>
        </w:rPr>
        <w:fldChar w:fldCharType="separate"/>
      </w:r>
      <w:r>
        <w:rPr>
          <w:rFonts w:hint="eastAsia" w:ascii="仿宋" w:eastAsia="仿宋" w:cs="仿宋"/>
        </w:rPr>
        <w:t>1</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pPr>
      <w:r>
        <w:fldChar w:fldCharType="begin"/>
      </w:r>
      <w:r>
        <w:instrText xml:space="preserve"> HYPERLINK \l "_Toc12260" </w:instrText>
      </w:r>
      <w:r>
        <w:fldChar w:fldCharType="separate"/>
      </w:r>
      <w:r>
        <w:rPr>
          <w:rFonts w:hint="eastAsia" w:ascii="仿宋" w:eastAsia="仿宋" w:cs="仿宋"/>
          <w:bCs/>
          <w:szCs w:val="30"/>
        </w:rPr>
        <w:t>（</w:t>
      </w:r>
      <w:r>
        <w:rPr>
          <w:rFonts w:hint="eastAsia" w:ascii="仿宋" w:eastAsia="仿宋" w:cs="仿宋"/>
          <w:bCs/>
          <w:szCs w:val="32"/>
        </w:rPr>
        <w:t>二）项目资金情况</w:t>
      </w:r>
      <w:r>
        <w:rPr>
          <w:rFonts w:hint="eastAsia" w:ascii="仿宋" w:eastAsia="仿宋" w:cs="仿宋"/>
        </w:rPr>
        <w:tab/>
      </w:r>
      <w:r>
        <w:rPr>
          <w:rFonts w:hint="eastAsia" w:ascii="仿宋" w:eastAsia="仿宋" w:cs="仿宋"/>
        </w:rPr>
        <w:t>2</w:t>
      </w:r>
      <w:r>
        <w:rPr>
          <w:rFonts w:hint="eastAsia" w:ascii="仿宋" w:eastAsia="仿宋" w:cs="仿宋"/>
        </w:rPr>
        <w:fldChar w:fldCharType="end"/>
      </w:r>
    </w:p>
    <w:p>
      <w:pPr>
        <w:pStyle w:val="10"/>
        <w:tabs>
          <w:tab w:val="right" w:leader="dot" w:pos="8786"/>
          <w:tab w:val="clear" w:pos="8850"/>
        </w:tabs>
      </w:pPr>
      <w:r>
        <w:fldChar w:fldCharType="begin"/>
      </w:r>
      <w:r>
        <w:instrText xml:space="preserve"> HYPERLINK \l "_Toc11077" </w:instrText>
      </w:r>
      <w:r>
        <w:fldChar w:fldCharType="separate"/>
      </w:r>
      <w:r>
        <w:rPr>
          <w:rFonts w:hint="eastAsia" w:ascii="黑体" w:hAnsi="黑体" w:eastAsia="黑体" w:cs="黑体"/>
          <w:szCs w:val="32"/>
        </w:rPr>
        <w:t>二、绩效评价工作情况</w:t>
      </w:r>
      <w:r>
        <w:tab/>
      </w:r>
      <w:r>
        <w:fldChar w:fldCharType="begin"/>
      </w:r>
      <w:r>
        <w:instrText xml:space="preserve"> PAGEREF _Toc11077 </w:instrText>
      </w:r>
      <w:r>
        <w:fldChar w:fldCharType="separate"/>
      </w:r>
      <w:r>
        <w:t>3</w:t>
      </w:r>
      <w:r>
        <w:fldChar w:fldCharType="end"/>
      </w:r>
      <w:r>
        <w:fldChar w:fldCharType="end"/>
      </w:r>
    </w:p>
    <w:p>
      <w:pPr>
        <w:pStyle w:val="10"/>
        <w:tabs>
          <w:tab w:val="right" w:leader="dot" w:pos="8786"/>
          <w:tab w:val="clear" w:pos="8850"/>
        </w:tabs>
        <w:rPr>
          <w:rFonts w:ascii="仿宋" w:eastAsia="仿宋" w:cs="仿宋"/>
        </w:rPr>
      </w:pPr>
      <w:r>
        <w:fldChar w:fldCharType="begin"/>
      </w:r>
      <w:r>
        <w:instrText xml:space="preserve"> HYPERLINK \l "_Toc21304" </w:instrText>
      </w:r>
      <w:r>
        <w:fldChar w:fldCharType="separate"/>
      </w:r>
      <w:r>
        <w:rPr>
          <w:rFonts w:hint="eastAsia" w:ascii="仿宋" w:eastAsia="仿宋" w:cs="仿宋"/>
          <w:szCs w:val="30"/>
        </w:rPr>
        <w:t>（一）绩效评价依据</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_Toc21304 </w:instrText>
      </w:r>
      <w:r>
        <w:rPr>
          <w:rFonts w:hint="eastAsia" w:ascii="仿宋" w:eastAsia="仿宋" w:cs="仿宋"/>
        </w:rPr>
        <w:fldChar w:fldCharType="separate"/>
      </w:r>
      <w:r>
        <w:rPr>
          <w:rFonts w:hint="eastAsia" w:ascii="仿宋" w:eastAsia="仿宋" w:cs="仿宋"/>
        </w:rPr>
        <w:t>3</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rPr>
          <w:rFonts w:ascii="仿宋" w:eastAsia="仿宋" w:cs="仿宋"/>
        </w:rPr>
      </w:pPr>
      <w:r>
        <w:fldChar w:fldCharType="begin"/>
      </w:r>
      <w:r>
        <w:instrText xml:space="preserve"> HYPERLINK \l "_Toc7178" </w:instrText>
      </w:r>
      <w:r>
        <w:fldChar w:fldCharType="separate"/>
      </w:r>
      <w:r>
        <w:rPr>
          <w:rFonts w:hint="eastAsia" w:ascii="仿宋" w:eastAsia="仿宋" w:cs="仿宋"/>
          <w:szCs w:val="30"/>
        </w:rPr>
        <w:t>（二）评价主要目的、范围、内容</w:t>
      </w:r>
      <w:r>
        <w:rPr>
          <w:rFonts w:hint="eastAsia" w:ascii="仿宋" w:eastAsia="仿宋" w:cs="仿宋"/>
        </w:rPr>
        <w:tab/>
      </w:r>
      <w:r>
        <w:rPr>
          <w:rFonts w:hint="eastAsia" w:ascii="仿宋" w:eastAsia="仿宋" w:cs="仿宋"/>
        </w:rPr>
        <w:fldChar w:fldCharType="end"/>
      </w:r>
      <w:r>
        <w:rPr>
          <w:rFonts w:hint="eastAsia" w:ascii="仿宋" w:eastAsia="仿宋" w:cs="仿宋"/>
        </w:rPr>
        <w:t>4</w:t>
      </w:r>
    </w:p>
    <w:p>
      <w:pPr>
        <w:pStyle w:val="10"/>
        <w:tabs>
          <w:tab w:val="right" w:leader="dot" w:pos="8786"/>
          <w:tab w:val="clear" w:pos="8850"/>
        </w:tabs>
        <w:rPr>
          <w:rFonts w:ascii="仿宋" w:eastAsia="仿宋" w:cs="仿宋"/>
        </w:rPr>
      </w:pPr>
      <w:r>
        <w:fldChar w:fldCharType="begin"/>
      </w:r>
      <w:r>
        <w:instrText xml:space="preserve"> HYPERLINK \l "_Toc4804" </w:instrText>
      </w:r>
      <w:r>
        <w:fldChar w:fldCharType="separate"/>
      </w:r>
      <w:r>
        <w:rPr>
          <w:rFonts w:hint="eastAsia" w:ascii="仿宋" w:eastAsia="仿宋" w:cs="仿宋"/>
          <w:szCs w:val="30"/>
        </w:rPr>
        <w:t>（三）评价标准及评价方法</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_Toc4804 </w:instrText>
      </w:r>
      <w:r>
        <w:rPr>
          <w:rFonts w:hint="eastAsia" w:ascii="仿宋" w:eastAsia="仿宋" w:cs="仿宋"/>
        </w:rPr>
        <w:fldChar w:fldCharType="separate"/>
      </w:r>
      <w:r>
        <w:rPr>
          <w:rFonts w:hint="eastAsia" w:ascii="仿宋" w:eastAsia="仿宋" w:cs="仿宋"/>
        </w:rPr>
        <w:t>4</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rPr>
          <w:rFonts w:ascii="仿宋" w:eastAsia="仿宋" w:cs="仿宋"/>
        </w:rPr>
      </w:pPr>
      <w:r>
        <w:fldChar w:fldCharType="begin"/>
      </w:r>
      <w:r>
        <w:instrText xml:space="preserve"> HYPERLINK \l "_Toc16760" </w:instrText>
      </w:r>
      <w:r>
        <w:fldChar w:fldCharType="separate"/>
      </w:r>
      <w:r>
        <w:rPr>
          <w:rFonts w:hint="eastAsia" w:ascii="仿宋" w:eastAsia="仿宋" w:cs="仿宋"/>
          <w:szCs w:val="30"/>
        </w:rPr>
        <w:t>（四）评价指标体系</w:t>
      </w:r>
      <w:r>
        <w:rPr>
          <w:rFonts w:hint="eastAsia" w:ascii="仿宋" w:eastAsia="仿宋" w:cs="仿宋"/>
        </w:rPr>
        <w:tab/>
      </w:r>
      <w:r>
        <w:rPr>
          <w:rFonts w:hint="eastAsia" w:ascii="仿宋" w:eastAsia="仿宋" w:cs="仿宋"/>
        </w:rPr>
        <w:fldChar w:fldCharType="end"/>
      </w:r>
      <w:r>
        <w:rPr>
          <w:rFonts w:hint="eastAsia" w:ascii="仿宋" w:eastAsia="仿宋" w:cs="仿宋"/>
        </w:rPr>
        <w:t>5</w:t>
      </w:r>
    </w:p>
    <w:p>
      <w:pPr>
        <w:pStyle w:val="10"/>
        <w:tabs>
          <w:tab w:val="right" w:leader="dot" w:pos="8786"/>
          <w:tab w:val="clear" w:pos="8850"/>
        </w:tabs>
      </w:pPr>
      <w:r>
        <w:fldChar w:fldCharType="begin"/>
      </w:r>
      <w:r>
        <w:instrText xml:space="preserve"> HYPERLINK \l "_Toc10595" </w:instrText>
      </w:r>
      <w:r>
        <w:fldChar w:fldCharType="separate"/>
      </w:r>
      <w:r>
        <w:rPr>
          <w:rFonts w:hint="eastAsia" w:ascii="仿宋" w:eastAsia="仿宋" w:cs="仿宋"/>
          <w:kern w:val="0"/>
          <w:szCs w:val="30"/>
        </w:rPr>
        <w:t>（五）评价样本确定情况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_Toc10595 </w:instrText>
      </w:r>
      <w:r>
        <w:rPr>
          <w:rFonts w:hint="eastAsia" w:ascii="仿宋" w:eastAsia="仿宋" w:cs="仿宋"/>
        </w:rPr>
        <w:fldChar w:fldCharType="separate"/>
      </w:r>
      <w:r>
        <w:rPr>
          <w:rFonts w:hint="eastAsia" w:ascii="仿宋" w:eastAsia="仿宋" w:cs="仿宋"/>
        </w:rPr>
        <w:t>5</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pPr>
      <w:r>
        <w:fldChar w:fldCharType="begin"/>
      </w:r>
      <w:r>
        <w:instrText xml:space="preserve"> HYPERLINK \l "_Toc20352" </w:instrText>
      </w:r>
      <w:r>
        <w:fldChar w:fldCharType="separate"/>
      </w:r>
      <w:r>
        <w:rPr>
          <w:rFonts w:hint="eastAsia" w:ascii="黑体" w:hAnsi="黑体" w:eastAsia="黑体" w:cs="黑体"/>
        </w:rPr>
        <w:t>三、绩效评价指标分析情况</w:t>
      </w:r>
      <w:r>
        <w:tab/>
      </w:r>
      <w:r>
        <w:fldChar w:fldCharType="begin"/>
      </w:r>
      <w:r>
        <w:instrText xml:space="preserve"> PAGEREF _Toc20352 </w:instrText>
      </w:r>
      <w:r>
        <w:fldChar w:fldCharType="separate"/>
      </w:r>
      <w:r>
        <w:t>5</w:t>
      </w:r>
      <w:r>
        <w:fldChar w:fldCharType="end"/>
      </w:r>
      <w:r>
        <w:fldChar w:fldCharType="end"/>
      </w:r>
    </w:p>
    <w:p>
      <w:pPr>
        <w:pStyle w:val="10"/>
        <w:tabs>
          <w:tab w:val="right" w:leader="dot" w:pos="8786"/>
          <w:tab w:val="clear" w:pos="8850"/>
        </w:tabs>
        <w:rPr>
          <w:rFonts w:ascii="仿宋" w:eastAsia="仿宋" w:cs="仿宋"/>
        </w:rPr>
      </w:pPr>
      <w:r>
        <w:fldChar w:fldCharType="begin"/>
      </w:r>
      <w:r>
        <w:instrText xml:space="preserve"> HYPERLINK \l "_Toc21950" </w:instrText>
      </w:r>
      <w:r>
        <w:fldChar w:fldCharType="separate"/>
      </w:r>
      <w:r>
        <w:rPr>
          <w:rFonts w:hint="eastAsia" w:ascii="仿宋" w:eastAsia="仿宋" w:cs="仿宋"/>
          <w:szCs w:val="30"/>
        </w:rPr>
        <w:t>（一）项目指标情况分析</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_Toc21950 </w:instrText>
      </w:r>
      <w:r>
        <w:rPr>
          <w:rFonts w:hint="eastAsia" w:ascii="仿宋" w:eastAsia="仿宋" w:cs="仿宋"/>
        </w:rPr>
        <w:fldChar w:fldCharType="separate"/>
      </w:r>
      <w:r>
        <w:rPr>
          <w:rFonts w:hint="eastAsia" w:ascii="仿宋" w:eastAsia="仿宋" w:cs="仿宋"/>
        </w:rPr>
        <w:t>5</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rPr>
          <w:rFonts w:ascii="仿宋" w:eastAsia="仿宋" w:cs="仿宋"/>
        </w:rPr>
      </w:pPr>
      <w:r>
        <w:fldChar w:fldCharType="begin"/>
      </w:r>
      <w:r>
        <w:instrText xml:space="preserve"> HYPERLINK \l "_Toc25272" </w:instrText>
      </w:r>
      <w:r>
        <w:fldChar w:fldCharType="separate"/>
      </w:r>
      <w:r>
        <w:rPr>
          <w:rFonts w:hint="eastAsia" w:ascii="仿宋" w:eastAsia="仿宋" w:cs="仿宋"/>
          <w:szCs w:val="30"/>
        </w:rPr>
        <w:t>（二）项目资金情况分析</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_Toc25272 </w:instrText>
      </w:r>
      <w:r>
        <w:rPr>
          <w:rFonts w:hint="eastAsia" w:ascii="仿宋" w:eastAsia="仿宋" w:cs="仿宋"/>
        </w:rPr>
        <w:fldChar w:fldCharType="separate"/>
      </w:r>
      <w:r>
        <w:rPr>
          <w:rFonts w:hint="eastAsia" w:ascii="仿宋" w:eastAsia="仿宋" w:cs="仿宋"/>
        </w:rPr>
        <w:t>6</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rPr>
          <w:rFonts w:ascii="仿宋" w:eastAsia="仿宋" w:cs="仿宋"/>
        </w:rPr>
      </w:pPr>
      <w:r>
        <w:fldChar w:fldCharType="begin"/>
      </w:r>
      <w:r>
        <w:instrText xml:space="preserve"> HYPERLINK \l "_Toc89" </w:instrText>
      </w:r>
      <w:r>
        <w:fldChar w:fldCharType="separate"/>
      </w:r>
      <w:r>
        <w:rPr>
          <w:rFonts w:hint="eastAsia" w:ascii="仿宋" w:eastAsia="仿宋" w:cs="仿宋"/>
          <w:szCs w:val="30"/>
        </w:rPr>
        <w:t>（三）项目实施情况分析</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_Toc89 </w:instrText>
      </w:r>
      <w:r>
        <w:rPr>
          <w:rFonts w:hint="eastAsia" w:ascii="仿宋" w:eastAsia="仿宋" w:cs="仿宋"/>
        </w:rPr>
        <w:fldChar w:fldCharType="separate"/>
      </w:r>
      <w:r>
        <w:rPr>
          <w:rFonts w:hint="eastAsia" w:ascii="仿宋" w:eastAsia="仿宋" w:cs="仿宋"/>
        </w:rPr>
        <w:t>8</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pPr>
      <w:r>
        <w:fldChar w:fldCharType="begin"/>
      </w:r>
      <w:r>
        <w:instrText xml:space="preserve"> HYPERLINK \l "_Toc11957" </w:instrText>
      </w:r>
      <w:r>
        <w:fldChar w:fldCharType="separate"/>
      </w:r>
      <w:r>
        <w:rPr>
          <w:rFonts w:hint="eastAsia" w:ascii="仿宋" w:eastAsia="仿宋" w:cs="仿宋"/>
          <w:szCs w:val="30"/>
        </w:rPr>
        <w:t>（四）项目绩效情况分析</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_Toc11957 </w:instrText>
      </w:r>
      <w:r>
        <w:rPr>
          <w:rFonts w:hint="eastAsia" w:ascii="仿宋" w:eastAsia="仿宋" w:cs="仿宋"/>
        </w:rPr>
        <w:fldChar w:fldCharType="separate"/>
      </w:r>
      <w:r>
        <w:rPr>
          <w:rFonts w:hint="eastAsia" w:ascii="仿宋" w:eastAsia="仿宋" w:cs="仿宋"/>
        </w:rPr>
        <w:t>11</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pPr>
      <w:r>
        <w:fldChar w:fldCharType="begin"/>
      </w:r>
      <w:r>
        <w:instrText xml:space="preserve"> HYPERLINK \l "_Toc20245" </w:instrText>
      </w:r>
      <w:r>
        <w:fldChar w:fldCharType="separate"/>
      </w:r>
      <w:r>
        <w:rPr>
          <w:rFonts w:hint="eastAsia" w:ascii="黑体" w:hAnsi="黑体" w:eastAsia="黑体" w:cs="黑体"/>
        </w:rPr>
        <w:t>四、项目绩效管理情况</w:t>
      </w:r>
      <w:r>
        <w:tab/>
      </w:r>
      <w:r>
        <w:rPr>
          <w:rFonts w:hint="eastAsia" w:ascii="仿宋" w:eastAsia="仿宋" w:cs="仿宋"/>
        </w:rPr>
        <w:fldChar w:fldCharType="begin"/>
      </w:r>
      <w:r>
        <w:rPr>
          <w:rFonts w:hint="eastAsia" w:ascii="仿宋" w:eastAsia="仿宋" w:cs="仿宋"/>
        </w:rPr>
        <w:instrText xml:space="preserve"> PAGEREF _Toc20245 </w:instrText>
      </w:r>
      <w:r>
        <w:rPr>
          <w:rFonts w:hint="eastAsia" w:ascii="仿宋" w:eastAsia="仿宋" w:cs="仿宋"/>
        </w:rPr>
        <w:fldChar w:fldCharType="separate"/>
      </w:r>
      <w:r>
        <w:rPr>
          <w:rFonts w:hint="eastAsia" w:ascii="仿宋" w:eastAsia="仿宋" w:cs="仿宋"/>
        </w:rPr>
        <w:t>13</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pPr>
      <w:r>
        <w:fldChar w:fldCharType="begin"/>
      </w:r>
      <w:r>
        <w:instrText xml:space="preserve"> HYPERLINK \l "_Toc26633" </w:instrText>
      </w:r>
      <w:r>
        <w:fldChar w:fldCharType="separate"/>
      </w:r>
      <w:r>
        <w:rPr>
          <w:rFonts w:hint="eastAsia" w:ascii="黑体" w:hAnsi="黑体" w:eastAsia="黑体" w:cs="黑体"/>
        </w:rPr>
        <w:t>五、评价结论及应用建议</w:t>
      </w:r>
      <w:r>
        <w:tab/>
      </w:r>
      <w:r>
        <w:fldChar w:fldCharType="begin"/>
      </w:r>
      <w:r>
        <w:instrText xml:space="preserve"> PAGEREF _Toc26633 </w:instrText>
      </w:r>
      <w:r>
        <w:fldChar w:fldCharType="separate"/>
      </w:r>
      <w:r>
        <w:t>13</w:t>
      </w:r>
      <w:r>
        <w:fldChar w:fldCharType="end"/>
      </w:r>
      <w:r>
        <w:fldChar w:fldCharType="end"/>
      </w:r>
    </w:p>
    <w:p>
      <w:pPr>
        <w:pStyle w:val="10"/>
        <w:tabs>
          <w:tab w:val="right" w:leader="dot" w:pos="8786"/>
          <w:tab w:val="clear" w:pos="8850"/>
        </w:tabs>
      </w:pPr>
      <w:r>
        <w:fldChar w:fldCharType="begin"/>
      </w:r>
      <w:r>
        <w:instrText xml:space="preserve"> HYPERLINK \l "_Toc31141" </w:instrText>
      </w:r>
      <w:r>
        <w:fldChar w:fldCharType="separate"/>
      </w:r>
      <w:r>
        <w:rPr>
          <w:rFonts w:hint="eastAsia" w:ascii="黑体" w:hAnsi="黑体" w:eastAsia="黑体" w:cs="黑体"/>
        </w:rPr>
        <w:t>六、存在的主要问题</w:t>
      </w:r>
      <w:r>
        <w:rPr>
          <w:rFonts w:hint="eastAsia" w:ascii="黑体" w:hAnsi="黑体" w:eastAsia="黑体" w:cs="黑体"/>
        </w:rPr>
        <w:tab/>
      </w:r>
      <w:r>
        <w:rPr>
          <w:rFonts w:hint="eastAsia" w:ascii="仿宋" w:eastAsia="仿宋" w:cs="仿宋"/>
        </w:rPr>
        <w:fldChar w:fldCharType="begin"/>
      </w:r>
      <w:r>
        <w:rPr>
          <w:rFonts w:hint="eastAsia" w:ascii="仿宋" w:eastAsia="仿宋" w:cs="仿宋"/>
        </w:rPr>
        <w:instrText xml:space="preserve"> PAGEREF _Toc31141 </w:instrText>
      </w:r>
      <w:r>
        <w:rPr>
          <w:rFonts w:hint="eastAsia" w:ascii="仿宋" w:eastAsia="仿宋" w:cs="仿宋"/>
        </w:rPr>
        <w:fldChar w:fldCharType="separate"/>
      </w:r>
      <w:r>
        <w:rPr>
          <w:rFonts w:hint="eastAsia" w:ascii="仿宋" w:eastAsia="仿宋" w:cs="仿宋"/>
        </w:rPr>
        <w:t>14</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rPr>
          <w:rFonts w:ascii="黑体" w:hAnsi="黑体" w:eastAsia="黑体" w:cs="黑体"/>
        </w:rPr>
      </w:pPr>
      <w:r>
        <w:fldChar w:fldCharType="begin"/>
      </w:r>
      <w:r>
        <w:instrText xml:space="preserve"> HYPERLINK \l "_Toc3932" </w:instrText>
      </w:r>
      <w:r>
        <w:fldChar w:fldCharType="separate"/>
      </w:r>
      <w:r>
        <w:rPr>
          <w:rFonts w:hint="eastAsia" w:ascii="黑体" w:hAnsi="黑体" w:eastAsia="黑体" w:cs="黑体"/>
        </w:rPr>
        <w:t>七、主要建议</w:t>
      </w:r>
      <w:r>
        <w:rPr>
          <w:rFonts w:hint="eastAsia" w:ascii="黑体" w:hAnsi="黑体" w:eastAsia="黑体" w:cs="黑体"/>
        </w:rPr>
        <w:tab/>
      </w:r>
      <w:r>
        <w:rPr>
          <w:rFonts w:hint="eastAsia" w:ascii="仿宋" w:eastAsia="仿宋" w:cs="仿宋"/>
        </w:rPr>
        <w:fldChar w:fldCharType="begin"/>
      </w:r>
      <w:r>
        <w:rPr>
          <w:rFonts w:hint="eastAsia" w:ascii="仿宋" w:eastAsia="仿宋" w:cs="仿宋"/>
        </w:rPr>
        <w:instrText xml:space="preserve"> PAGEREF _Toc3932 </w:instrText>
      </w:r>
      <w:r>
        <w:rPr>
          <w:rFonts w:hint="eastAsia" w:ascii="仿宋" w:eastAsia="仿宋" w:cs="仿宋"/>
        </w:rPr>
        <w:fldChar w:fldCharType="separate"/>
      </w:r>
      <w:r>
        <w:rPr>
          <w:rFonts w:hint="eastAsia" w:ascii="仿宋" w:eastAsia="仿宋" w:cs="仿宋"/>
        </w:rPr>
        <w:t>18</w:t>
      </w:r>
      <w:r>
        <w:rPr>
          <w:rFonts w:hint="eastAsia" w:ascii="仿宋" w:eastAsia="仿宋" w:cs="仿宋"/>
        </w:rPr>
        <w:fldChar w:fldCharType="end"/>
      </w:r>
      <w:r>
        <w:rPr>
          <w:rFonts w:hint="eastAsia" w:ascii="仿宋" w:eastAsia="仿宋" w:cs="仿宋"/>
        </w:rPr>
        <w:fldChar w:fldCharType="end"/>
      </w:r>
    </w:p>
    <w:p>
      <w:pPr>
        <w:pStyle w:val="10"/>
        <w:tabs>
          <w:tab w:val="right" w:leader="dot" w:pos="8786"/>
          <w:tab w:val="clear" w:pos="8850"/>
        </w:tabs>
        <w:rPr>
          <w:rFonts w:ascii="黑体" w:hAnsi="黑体" w:eastAsia="黑体" w:cs="黑体"/>
        </w:rPr>
      </w:pPr>
      <w:r>
        <w:rPr>
          <w:rFonts w:hint="eastAsia" w:ascii="仿宋" w:eastAsia="仿宋"/>
        </w:rPr>
        <w:fldChar w:fldCharType="end"/>
      </w:r>
      <w:bookmarkStart w:id="1" w:name="_Toc447578737"/>
      <w:bookmarkEnd w:id="1"/>
      <w:r>
        <w:rPr>
          <w:rFonts w:hint="eastAsia" w:ascii="黑体" w:hAnsi="黑体" w:eastAsia="黑体" w:cs="黑体"/>
        </w:rPr>
        <w:fldChar w:fldCharType="begin"/>
      </w:r>
      <w:r>
        <w:rPr>
          <w:rFonts w:hint="eastAsia" w:ascii="黑体" w:hAnsi="黑体" w:eastAsia="黑体" w:cs="黑体"/>
        </w:rPr>
        <w:instrText xml:space="preserve"> HYPERLINK \l _Toc19251 </w:instrText>
      </w:r>
      <w:r>
        <w:rPr>
          <w:rFonts w:hint="eastAsia" w:ascii="黑体" w:hAnsi="黑体" w:eastAsia="黑体" w:cs="黑体"/>
        </w:rPr>
        <w:fldChar w:fldCharType="separate"/>
      </w:r>
      <w:r>
        <w:rPr>
          <w:rFonts w:hint="eastAsia" w:ascii="黑体" w:hAnsi="黑体" w:eastAsia="黑体" w:cs="黑体"/>
        </w:rPr>
        <w:t>附件</w:t>
      </w:r>
      <w:r>
        <w:rPr>
          <w:rFonts w:hint="eastAsia" w:ascii="黑体" w:hAnsi="黑体" w:eastAsia="黑体" w:cs="黑体"/>
        </w:rPr>
        <w:tab/>
      </w:r>
      <w:r>
        <w:rPr>
          <w:rFonts w:hint="eastAsia" w:ascii="黑体" w:hAnsi="黑体" w:eastAsia="黑体" w:cs="黑体"/>
        </w:rPr>
        <w:fldChar w:fldCharType="end"/>
      </w:r>
      <w:r>
        <w:rPr>
          <w:rFonts w:hint="eastAsia" w:ascii="仿宋" w:eastAsia="仿宋" w:cs="仿宋"/>
        </w:rPr>
        <w:t>20</w:t>
      </w:r>
    </w:p>
    <w:p>
      <w:pPr>
        <w:spacing w:line="360" w:lineRule="auto"/>
        <w:rPr>
          <w:rFonts w:ascii="仿宋" w:hAnsi="仿宋" w:eastAsia="仿宋"/>
        </w:rPr>
      </w:pPr>
    </w:p>
    <w:p>
      <w:pPr>
        <w:jc w:val="center"/>
      </w:pPr>
    </w:p>
    <w:p>
      <w:pPr>
        <w:spacing w:line="360" w:lineRule="auto"/>
        <w:jc w:val="center"/>
        <w:rPr>
          <w:rFonts w:ascii="仿宋" w:hAnsi="仿宋" w:eastAsia="仿宋" w:cs="仿宋"/>
          <w:sz w:val="36"/>
          <w:szCs w:val="36"/>
        </w:rPr>
        <w:sectPr>
          <w:footerReference r:id="rId10" w:type="first"/>
          <w:footerReference r:id="rId9" w:type="default"/>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spacing w:afterLines="50"/>
        <w:jc w:val="center"/>
        <w:rPr>
          <w:rFonts w:ascii="仿宋" w:hAnsi="仿宋" w:eastAsia="仿宋" w:cs="仿宋"/>
          <w:b/>
          <w:bCs/>
          <w:spacing w:val="-20"/>
          <w:sz w:val="36"/>
          <w:szCs w:val="36"/>
        </w:rPr>
      </w:pPr>
      <w:r>
        <w:rPr>
          <w:rFonts w:hint="eastAsia" w:ascii="仿宋" w:hAnsi="仿宋" w:eastAsia="仿宋" w:cs="仿宋"/>
          <w:b/>
          <w:bCs/>
          <w:spacing w:val="-20"/>
          <w:sz w:val="36"/>
          <w:szCs w:val="36"/>
        </w:rPr>
        <w:t>巫溪县2019年城市环境卫生管理项目</w:t>
      </w:r>
    </w:p>
    <w:p>
      <w:pPr>
        <w:jc w:val="center"/>
        <w:rPr>
          <w:rFonts w:ascii="仿宋" w:hAnsi="仿宋" w:eastAsia="仿宋" w:cs="仿宋"/>
          <w:b/>
          <w:spacing w:val="-10"/>
          <w:sz w:val="48"/>
          <w:szCs w:val="48"/>
        </w:rPr>
      </w:pPr>
      <w:r>
        <w:rPr>
          <w:rFonts w:hint="eastAsia" w:ascii="仿宋" w:hAnsi="仿宋" w:eastAsia="仿宋" w:cs="仿宋"/>
          <w:b/>
          <w:spacing w:val="-10"/>
          <w:sz w:val="48"/>
          <w:szCs w:val="48"/>
        </w:rPr>
        <w:t>绩效评价报告</w:t>
      </w:r>
    </w:p>
    <w:p>
      <w:pPr>
        <w:spacing w:beforeLines="50" w:afterLines="50"/>
        <w:jc w:val="center"/>
        <w:outlineLvl w:val="0"/>
        <w:rPr>
          <w:rFonts w:ascii="仿宋" w:hAnsi="仿宋" w:eastAsia="仿宋"/>
          <w:b/>
          <w:sz w:val="28"/>
          <w:szCs w:val="28"/>
        </w:rPr>
      </w:pPr>
      <w:bookmarkStart w:id="2" w:name="_Toc28628"/>
      <w:bookmarkStart w:id="3" w:name="_Toc4891"/>
      <w:r>
        <w:rPr>
          <w:rFonts w:hint="eastAsia" w:ascii="仿宋" w:hAnsi="仿宋" w:eastAsia="仿宋"/>
          <w:b/>
          <w:sz w:val="28"/>
          <w:szCs w:val="28"/>
        </w:rPr>
        <w:t>重通会所咨〔2020〕</w:t>
      </w:r>
      <w:r>
        <w:rPr>
          <w:rFonts w:hint="eastAsia" w:ascii="仿宋" w:hAnsi="仿宋" w:eastAsia="仿宋"/>
          <w:b/>
          <w:sz w:val="28"/>
          <w:szCs w:val="28"/>
          <w:lang w:val="en-US" w:eastAsia="zh-CN"/>
        </w:rPr>
        <w:t>080</w:t>
      </w:r>
      <w:r>
        <w:rPr>
          <w:rFonts w:hint="eastAsia" w:ascii="仿宋" w:hAnsi="仿宋" w:eastAsia="仿宋"/>
          <w:b/>
          <w:sz w:val="28"/>
          <w:szCs w:val="28"/>
        </w:rPr>
        <w:t>号</w:t>
      </w:r>
      <w:bookmarkEnd w:id="2"/>
      <w:bookmarkEnd w:id="3"/>
    </w:p>
    <w:p>
      <w:pPr>
        <w:spacing w:line="600" w:lineRule="exact"/>
        <w:ind w:firstLine="600" w:firstLineChars="200"/>
        <w:rPr>
          <w:rFonts w:ascii="仿宋" w:hAnsi="仿宋" w:eastAsia="仿宋" w:cs="仿宋"/>
          <w:szCs w:val="30"/>
        </w:rPr>
      </w:pPr>
      <w:bookmarkStart w:id="4" w:name="_Toc313640953"/>
      <w:r>
        <w:rPr>
          <w:rFonts w:hint="eastAsia" w:ascii="仿宋" w:hAnsi="仿宋" w:eastAsia="仿宋" w:cs="仿宋"/>
          <w:szCs w:val="30"/>
        </w:rPr>
        <w:t>为加强财政资金管理，提高资金使用效益，根据《中共中央国务院关于全面实施预算绩效管理的意见》（中发〔2018〕34号）、《中共巫溪县委巫溪县人民政府关于全面实施预算绩效管理的实施意见》（巫溪委发〔2019〕27号）精神，重庆市巫溪县财政局（以下简称“县财政局”）为保障2019年重点项目和部门整体支出绩效评价工作的顺利开展，委托重庆通冠会计师事务所组织成立了绩效评价工作组，对巫溪县2019年城市环境卫生管理项目（以下简称“城市环境卫生管理项目”）进行了绩效评价。现将评价情况报告如下：</w:t>
      </w:r>
      <w:bookmarkEnd w:id="4"/>
    </w:p>
    <w:p>
      <w:pPr>
        <w:numPr>
          <w:ilvl w:val="0"/>
          <w:numId w:val="1"/>
        </w:numPr>
        <w:spacing w:beforeLines="50" w:afterLines="50" w:line="600" w:lineRule="exact"/>
        <w:ind w:firstLine="643" w:firstLineChars="200"/>
        <w:outlineLvl w:val="0"/>
        <w:rPr>
          <w:rFonts w:ascii="黑体" w:hAnsi="黑体" w:eastAsia="黑体" w:cs="黑体"/>
          <w:b/>
          <w:bCs/>
          <w:sz w:val="32"/>
          <w:szCs w:val="32"/>
        </w:rPr>
      </w:pPr>
      <w:bookmarkStart w:id="5" w:name="_Toc4347"/>
      <w:bookmarkStart w:id="6" w:name="_Toc31799"/>
      <w:bookmarkStart w:id="7" w:name="_Toc27920"/>
      <w:bookmarkStart w:id="8" w:name="_Toc15118"/>
      <w:r>
        <w:rPr>
          <w:rFonts w:hint="eastAsia" w:ascii="黑体" w:hAnsi="黑体" w:eastAsia="黑体" w:cs="黑体"/>
          <w:b/>
          <w:bCs/>
          <w:sz w:val="32"/>
          <w:szCs w:val="32"/>
        </w:rPr>
        <w:t>项目总体概况</w:t>
      </w:r>
      <w:bookmarkEnd w:id="5"/>
      <w:bookmarkEnd w:id="6"/>
      <w:bookmarkEnd w:id="7"/>
      <w:bookmarkEnd w:id="8"/>
      <w:bookmarkStart w:id="9" w:name="_Toc30767"/>
    </w:p>
    <w:p>
      <w:pPr>
        <w:numPr>
          <w:ilvl w:val="255"/>
          <w:numId w:val="0"/>
        </w:numPr>
        <w:spacing w:beforeLines="50" w:afterLines="50" w:line="600" w:lineRule="exact"/>
        <w:ind w:firstLine="602" w:firstLineChars="200"/>
        <w:rPr>
          <w:rFonts w:ascii="仿宋" w:hAnsi="仿宋" w:eastAsia="仿宋" w:cs="仿宋"/>
          <w:b/>
          <w:bCs/>
          <w:szCs w:val="30"/>
        </w:rPr>
      </w:pPr>
      <w:bookmarkStart w:id="10" w:name="_Toc12260"/>
      <w:bookmarkStart w:id="11" w:name="_Toc9636"/>
      <w:bookmarkStart w:id="12" w:name="_Toc6709"/>
      <w:bookmarkStart w:id="13" w:name="_Toc12968"/>
      <w:r>
        <w:rPr>
          <w:rFonts w:hint="eastAsia" w:ascii="仿宋" w:hAnsi="仿宋" w:eastAsia="仿宋" w:cs="仿宋"/>
          <w:b/>
          <w:bCs/>
          <w:szCs w:val="30"/>
        </w:rPr>
        <w:t>（一）项目基本情况</w:t>
      </w:r>
      <w:bookmarkEnd w:id="9"/>
      <w:bookmarkEnd w:id="10"/>
      <w:bookmarkEnd w:id="11"/>
      <w:bookmarkEnd w:id="12"/>
      <w:bookmarkEnd w:id="13"/>
      <w:bookmarkStart w:id="14" w:name="_Toc15107"/>
    </w:p>
    <w:p>
      <w:pPr>
        <w:spacing w:line="600" w:lineRule="exact"/>
        <w:ind w:firstLine="600" w:firstLineChars="200"/>
        <w:rPr>
          <w:rFonts w:ascii="仿宋" w:hAnsi="仿宋" w:eastAsia="仿宋" w:cs="仿宋"/>
          <w:szCs w:val="30"/>
        </w:rPr>
      </w:pPr>
      <w:bookmarkStart w:id="15" w:name="_Toc13642"/>
      <w:bookmarkStart w:id="16" w:name="_Toc25693"/>
      <w:r>
        <w:rPr>
          <w:rFonts w:hint="eastAsia" w:ascii="仿宋" w:hAnsi="仿宋" w:eastAsia="仿宋" w:cs="仿宋"/>
          <w:szCs w:val="30"/>
        </w:rPr>
        <w:t>为全面贯彻“城市智管、城市细管、城市众管”的总要求，紧紧围绕“为人民管理城市”的战略目标，进一步提高巫溪县城市管理水平，全面提升城市品质，夯实创建基础，充分展现宜居、宜业、宜游的秀美城市形象。</w:t>
      </w:r>
      <w:r>
        <w:rPr>
          <w:rFonts w:hint="eastAsia" w:ascii="仿宋" w:hAnsi="仿宋" w:eastAsia="仿宋" w:cs="仿宋"/>
          <w:b/>
          <w:bCs/>
          <w:szCs w:val="30"/>
        </w:rPr>
        <w:t>一是</w:t>
      </w:r>
      <w:r>
        <w:rPr>
          <w:rFonts w:hint="eastAsia" w:ascii="仿宋" w:hAnsi="仿宋" w:eastAsia="仿宋" w:cs="仿宋"/>
          <w:szCs w:val="30"/>
        </w:rPr>
        <w:t>巫溪县环境卫生管理所（以下简称“县环卫所”）做好城市道路清扫、垃圾清运、垃圾处置等日常工作；</w:t>
      </w:r>
      <w:r>
        <w:rPr>
          <w:rFonts w:hint="eastAsia" w:ascii="仿宋" w:hAnsi="仿宋" w:eastAsia="仿宋" w:cs="仿宋"/>
          <w:b/>
          <w:bCs/>
          <w:szCs w:val="30"/>
        </w:rPr>
        <w:t>二是</w:t>
      </w:r>
      <w:r>
        <w:rPr>
          <w:rFonts w:hint="eastAsia" w:ascii="仿宋" w:hAnsi="仿宋" w:eastAsia="仿宋" w:cs="仿宋"/>
          <w:szCs w:val="30"/>
        </w:rPr>
        <w:t>巫溪县公园绿化管理所（以下简称“县绿化所”）紧紧围绕绿化建设和绿化管护两条主线，全年完成草花栽植以及日常管护工作；</w:t>
      </w:r>
      <w:r>
        <w:rPr>
          <w:rFonts w:hint="eastAsia" w:ascii="仿宋" w:hAnsi="仿宋" w:eastAsia="仿宋" w:cs="仿宋"/>
          <w:b/>
          <w:bCs/>
          <w:szCs w:val="30"/>
        </w:rPr>
        <w:t>三是</w:t>
      </w:r>
      <w:r>
        <w:rPr>
          <w:rFonts w:hint="eastAsia" w:ascii="仿宋" w:hAnsi="仿宋" w:eastAsia="仿宋" w:cs="仿宋"/>
          <w:szCs w:val="30"/>
        </w:rPr>
        <w:t>巫溪县市政设施管理所（以下简称“县设施所”）着力补短板、强弱项、惠民生，启动实施“路平桥安、灯明景靓河清水畅”等重点工程建设任务；</w:t>
      </w:r>
      <w:r>
        <w:rPr>
          <w:rFonts w:hint="eastAsia" w:ascii="仿宋" w:hAnsi="仿宋" w:eastAsia="仿宋" w:cs="仿宋"/>
          <w:b/>
          <w:bCs/>
          <w:szCs w:val="30"/>
        </w:rPr>
        <w:t>四是</w:t>
      </w:r>
      <w:r>
        <w:rPr>
          <w:rFonts w:hint="eastAsia" w:ascii="仿宋" w:hAnsi="仿宋" w:eastAsia="仿宋" w:cs="仿宋"/>
          <w:szCs w:val="30"/>
        </w:rPr>
        <w:t>巫溪县城市管理综合行政执法支队（以下简称“县执法支队”）实施治乱拆违、整墙修面、污水“三排”等专项整治工作。</w:t>
      </w:r>
    </w:p>
    <w:p>
      <w:pPr>
        <w:spacing w:line="600" w:lineRule="exact"/>
        <w:ind w:firstLine="600" w:firstLineChars="200"/>
        <w:rPr>
          <w:rFonts w:ascii="仿宋" w:hAnsi="仿宋" w:eastAsia="仿宋" w:cs="仿宋"/>
          <w:szCs w:val="30"/>
        </w:rPr>
      </w:pPr>
      <w:r>
        <w:rPr>
          <w:rFonts w:hint="eastAsia" w:ascii="仿宋" w:hAnsi="仿宋" w:eastAsia="仿宋" w:cs="仿宋"/>
          <w:szCs w:val="30"/>
        </w:rPr>
        <w:t>根据县财政局《关于下达2019年部门预算的通知》（溪财发〔2019〕3-34号）文件精神和工作部署，城市环境卫生管理项目资金</w:t>
      </w:r>
      <w:r>
        <w:rPr>
          <w:rFonts w:hint="eastAsia" w:ascii="仿宋" w:hAnsi="仿宋" w:eastAsia="仿宋" w:cs="仿宋"/>
          <w:b/>
          <w:bCs/>
          <w:szCs w:val="30"/>
        </w:rPr>
        <w:t>一是</w:t>
      </w:r>
      <w:r>
        <w:rPr>
          <w:rFonts w:hint="eastAsia" w:ascii="仿宋" w:hAnsi="仿宋" w:eastAsia="仿宋" w:cs="仿宋"/>
          <w:szCs w:val="30"/>
        </w:rPr>
        <w:t>用于支付县城管局及下属单位临聘人员工资；</w:t>
      </w:r>
      <w:r>
        <w:rPr>
          <w:rFonts w:hint="eastAsia" w:ascii="仿宋" w:hAnsi="仿宋" w:eastAsia="仿宋" w:cs="仿宋"/>
          <w:b/>
          <w:bCs/>
          <w:szCs w:val="30"/>
        </w:rPr>
        <w:t>二是</w:t>
      </w:r>
      <w:r>
        <w:rPr>
          <w:rFonts w:hint="eastAsia" w:ascii="仿宋" w:hAnsi="仿宋" w:eastAsia="仿宋" w:cs="仿宋"/>
          <w:szCs w:val="30"/>
        </w:rPr>
        <w:t>用于县环卫所垃圾处置及日常管护费用。通过城市日常管护，为巫溪县日常环境卫生管理经费提供保障，维护城市日常综合管护水平。进一步提高巫溪县人居环境舒适度，提升城市形象，实现山清水秀城美人好，让近者悦、远者来。</w:t>
      </w:r>
    </w:p>
    <w:p>
      <w:pPr>
        <w:spacing w:beforeLines="50" w:afterLines="50" w:line="600" w:lineRule="exact"/>
        <w:ind w:firstLine="602" w:firstLineChars="200"/>
        <w:rPr>
          <w:rFonts w:ascii="仿宋" w:hAnsi="仿宋" w:eastAsia="仿宋" w:cs="仿宋"/>
          <w:b/>
          <w:bCs/>
          <w:szCs w:val="30"/>
        </w:rPr>
      </w:pPr>
      <w:r>
        <w:rPr>
          <w:rFonts w:hint="eastAsia" w:ascii="仿宋" w:hAnsi="仿宋" w:eastAsia="仿宋" w:cs="仿宋"/>
          <w:b/>
          <w:bCs/>
          <w:szCs w:val="30"/>
        </w:rPr>
        <w:t>（</w:t>
      </w:r>
      <w:r>
        <w:rPr>
          <w:rFonts w:hint="eastAsia" w:ascii="仿宋" w:hAnsi="仿宋" w:eastAsia="仿宋" w:cs="仿宋"/>
          <w:b/>
          <w:bCs/>
          <w:szCs w:val="32"/>
        </w:rPr>
        <w:t>二）项目资金情况</w:t>
      </w:r>
      <w:bookmarkEnd w:id="14"/>
      <w:bookmarkEnd w:id="15"/>
      <w:bookmarkEnd w:id="16"/>
    </w:p>
    <w:p>
      <w:pPr>
        <w:spacing w:line="600" w:lineRule="exact"/>
        <w:ind w:firstLine="600" w:firstLineChars="200"/>
        <w:rPr>
          <w:rFonts w:ascii="仿宋" w:hAnsi="仿宋" w:eastAsia="仿宋" w:cs="仿宋"/>
          <w:szCs w:val="30"/>
        </w:rPr>
      </w:pPr>
      <w:r>
        <w:rPr>
          <w:rFonts w:hint="eastAsia" w:ascii="仿宋" w:hAnsi="仿宋" w:eastAsia="仿宋" w:cs="仿宋"/>
          <w:szCs w:val="30"/>
        </w:rPr>
        <w:t>根据县财政局《关于下达2019年部门预算的通知》（溪财发〔2019〕3-34号）文件，县财政局下达预算资金4,010.65万元，为环境卫生和临聘人员工资支出。项目实际使用资金</w:t>
      </w:r>
      <w:r>
        <w:rPr>
          <w:rFonts w:hint="eastAsia" w:ascii="仿宋" w:hAnsi="仿宋" w:eastAsia="仿宋" w:cs="仿宋"/>
          <w:color w:val="000000"/>
          <w:szCs w:val="30"/>
        </w:rPr>
        <w:t>3,370.43</w:t>
      </w:r>
      <w:r>
        <w:rPr>
          <w:rFonts w:hint="eastAsia" w:ascii="仿宋" w:hAnsi="仿宋" w:eastAsia="仿宋" w:cs="仿宋"/>
          <w:szCs w:val="30"/>
        </w:rPr>
        <w:t>万元，结余资金640.22万元。详见下表：</w:t>
      </w:r>
    </w:p>
    <w:tbl>
      <w:tblPr>
        <w:tblStyle w:val="14"/>
        <w:tblW w:w="8816" w:type="dxa"/>
        <w:jc w:val="center"/>
        <w:tblLayout w:type="fixed"/>
        <w:tblCellMar>
          <w:top w:w="15" w:type="dxa"/>
          <w:left w:w="15" w:type="dxa"/>
          <w:bottom w:w="15" w:type="dxa"/>
          <w:right w:w="15" w:type="dxa"/>
        </w:tblCellMar>
      </w:tblPr>
      <w:tblGrid>
        <w:gridCol w:w="1456"/>
        <w:gridCol w:w="1789"/>
        <w:gridCol w:w="2971"/>
        <w:gridCol w:w="2600"/>
      </w:tblGrid>
      <w:tr>
        <w:tblPrEx>
          <w:tblCellMar>
            <w:top w:w="15" w:type="dxa"/>
            <w:left w:w="15" w:type="dxa"/>
            <w:bottom w:w="15" w:type="dxa"/>
            <w:right w:w="15" w:type="dxa"/>
          </w:tblCellMar>
        </w:tblPrEx>
        <w:trPr>
          <w:trHeight w:val="549" w:hRule="atLeast"/>
          <w:tblHeader/>
          <w:jc w:val="center"/>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单位名称</w:t>
            </w:r>
          </w:p>
        </w:tc>
        <w:tc>
          <w:tcPr>
            <w:tcW w:w="4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项目名称</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实际使用资金（万元）</w:t>
            </w:r>
          </w:p>
        </w:tc>
      </w:tr>
      <w:tr>
        <w:tblPrEx>
          <w:tblCellMar>
            <w:top w:w="15" w:type="dxa"/>
            <w:left w:w="15" w:type="dxa"/>
            <w:bottom w:w="15" w:type="dxa"/>
            <w:right w:w="15" w:type="dxa"/>
          </w:tblCellMar>
        </w:tblPrEx>
        <w:trPr>
          <w:trHeight w:val="23"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县环卫所</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临聘人员经费</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清漂人员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371.41</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清扫人员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1,126.01</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公厕人员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41.61</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清运人员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10.41</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办公室临聘人员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142.75</w:t>
            </w:r>
          </w:p>
        </w:tc>
      </w:tr>
      <w:tr>
        <w:tblPrEx>
          <w:tblCellMar>
            <w:top w:w="15" w:type="dxa"/>
            <w:left w:w="15" w:type="dxa"/>
            <w:bottom w:w="15" w:type="dxa"/>
            <w:right w:w="15" w:type="dxa"/>
          </w:tblCellMar>
        </w:tblPrEx>
        <w:trPr>
          <w:trHeight w:val="23" w:hRule="atLeast"/>
          <w:jc w:val="center"/>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县绿化所</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县绿化所临聘人员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340.55</w:t>
            </w:r>
          </w:p>
        </w:tc>
      </w:tr>
      <w:tr>
        <w:tblPrEx>
          <w:tblCellMar>
            <w:top w:w="15" w:type="dxa"/>
            <w:left w:w="15" w:type="dxa"/>
            <w:bottom w:w="15" w:type="dxa"/>
            <w:right w:w="15" w:type="dxa"/>
          </w:tblCellMar>
        </w:tblPrEx>
        <w:trPr>
          <w:trHeight w:val="23" w:hRule="atLeast"/>
          <w:jc w:val="center"/>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县设施所</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县设施所临聘人员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101.80</w:t>
            </w:r>
          </w:p>
        </w:tc>
      </w:tr>
      <w:tr>
        <w:tblPrEx>
          <w:tblCellMar>
            <w:top w:w="15" w:type="dxa"/>
            <w:left w:w="15" w:type="dxa"/>
            <w:bottom w:w="15" w:type="dxa"/>
            <w:right w:w="15" w:type="dxa"/>
          </w:tblCellMar>
        </w:tblPrEx>
        <w:trPr>
          <w:trHeight w:val="23" w:hRule="atLeast"/>
          <w:jc w:val="center"/>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县执法支队</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县执法支队临聘人员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482.02</w:t>
            </w:r>
          </w:p>
        </w:tc>
      </w:tr>
      <w:tr>
        <w:tblPrEx>
          <w:tblCellMar>
            <w:top w:w="15" w:type="dxa"/>
            <w:left w:w="15" w:type="dxa"/>
            <w:bottom w:w="15" w:type="dxa"/>
            <w:right w:w="15" w:type="dxa"/>
          </w:tblCellMar>
        </w:tblPrEx>
        <w:trPr>
          <w:trHeight w:val="23" w:hRule="atLeast"/>
          <w:jc w:val="center"/>
        </w:trPr>
        <w:tc>
          <w:tcPr>
            <w:tcW w:w="6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b/>
                <w:bCs/>
                <w:color w:val="000000"/>
                <w:kern w:val="0"/>
                <w:sz w:val="24"/>
              </w:rPr>
              <w:t>临聘人员工资经费小计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kern w:val="0"/>
                <w:sz w:val="24"/>
              </w:rPr>
            </w:pPr>
            <w:r>
              <w:rPr>
                <w:rFonts w:hint="eastAsia" w:ascii="仿宋" w:hAnsi="仿宋" w:eastAsia="仿宋" w:cs="仿宋"/>
                <w:b/>
                <w:bCs/>
                <w:color w:val="000000"/>
                <w:kern w:val="0"/>
                <w:sz w:val="24"/>
              </w:rPr>
              <w:t>2,616.57</w:t>
            </w:r>
          </w:p>
        </w:tc>
      </w:tr>
      <w:tr>
        <w:tblPrEx>
          <w:tblCellMar>
            <w:top w:w="15" w:type="dxa"/>
            <w:left w:w="15" w:type="dxa"/>
            <w:bottom w:w="15" w:type="dxa"/>
            <w:right w:w="15" w:type="dxa"/>
          </w:tblCellMar>
        </w:tblPrEx>
        <w:trPr>
          <w:trHeight w:val="23"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县环卫所</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业务活动费用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处理厂</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88.96</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公厕日常</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9.60</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公厕水电</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17.26</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公厕低值易耗</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5.66</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公厕其他</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8.39</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清扫车辆维修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28.17</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清扫车辆油料</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38.09</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清扫其他</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11.06</w:t>
            </w:r>
          </w:p>
        </w:tc>
      </w:tr>
      <w:tr>
        <w:tblPrEx>
          <w:tblCellMar>
            <w:top w:w="15" w:type="dxa"/>
            <w:left w:w="15" w:type="dxa"/>
            <w:bottom w:w="15" w:type="dxa"/>
            <w:right w:w="15" w:type="dxa"/>
          </w:tblCellMar>
        </w:tblPrEx>
        <w:trPr>
          <w:trHeight w:val="359"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清扫低值易耗</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7.64</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清运车辆维修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285.82</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清运车辆油料</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207.61</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清运其他</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34.93</w:t>
            </w:r>
          </w:p>
        </w:tc>
      </w:tr>
      <w:tr>
        <w:tblPrEx>
          <w:tblCellMar>
            <w:top w:w="15" w:type="dxa"/>
            <w:left w:w="15" w:type="dxa"/>
            <w:bottom w:w="15" w:type="dxa"/>
            <w:right w:w="15" w:type="dxa"/>
          </w:tblCellMar>
        </w:tblPrEx>
        <w:trPr>
          <w:trHeight w:val="2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清运低值易耗品</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10.69</w:t>
            </w:r>
          </w:p>
        </w:tc>
      </w:tr>
      <w:tr>
        <w:tblPrEx>
          <w:tblCellMar>
            <w:top w:w="15" w:type="dxa"/>
            <w:left w:w="15" w:type="dxa"/>
            <w:bottom w:w="15" w:type="dxa"/>
            <w:right w:w="15" w:type="dxa"/>
          </w:tblCellMar>
        </w:tblPrEx>
        <w:trPr>
          <w:trHeight w:val="23" w:hRule="atLeast"/>
          <w:jc w:val="center"/>
        </w:trPr>
        <w:tc>
          <w:tcPr>
            <w:tcW w:w="6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县环卫所业务活动费用小计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b/>
                <w:bCs/>
                <w:color w:val="000000"/>
                <w:sz w:val="24"/>
              </w:rPr>
            </w:pPr>
            <w:r>
              <w:rPr>
                <w:rFonts w:hint="eastAsia" w:ascii="仿宋" w:hAnsi="仿宋" w:eastAsia="仿宋" w:cs="仿宋"/>
                <w:b/>
                <w:bCs/>
                <w:color w:val="000000"/>
                <w:kern w:val="0"/>
                <w:sz w:val="24"/>
              </w:rPr>
              <w:t>753.86</w:t>
            </w:r>
          </w:p>
        </w:tc>
      </w:tr>
      <w:tr>
        <w:tblPrEx>
          <w:tblCellMar>
            <w:top w:w="15" w:type="dxa"/>
            <w:left w:w="15" w:type="dxa"/>
            <w:bottom w:w="15" w:type="dxa"/>
            <w:right w:w="15" w:type="dxa"/>
          </w:tblCellMar>
        </w:tblPrEx>
        <w:trPr>
          <w:trHeight w:val="23" w:hRule="atLeast"/>
          <w:jc w:val="center"/>
        </w:trPr>
        <w:tc>
          <w:tcPr>
            <w:tcW w:w="6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合计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仿宋"/>
                <w:b/>
                <w:bCs/>
                <w:color w:val="000000"/>
                <w:sz w:val="24"/>
              </w:rPr>
            </w:pPr>
            <w:r>
              <w:rPr>
                <w:rFonts w:hint="eastAsia" w:ascii="仿宋" w:hAnsi="仿宋" w:eastAsia="仿宋" w:cs="仿宋"/>
                <w:b/>
                <w:bCs/>
                <w:color w:val="000000"/>
                <w:kern w:val="0"/>
                <w:sz w:val="24"/>
              </w:rPr>
              <w:t>3,370.43</w:t>
            </w:r>
          </w:p>
        </w:tc>
      </w:tr>
    </w:tbl>
    <w:p>
      <w:pPr>
        <w:pStyle w:val="28"/>
        <w:spacing w:before="120" w:after="120" w:line="600" w:lineRule="exact"/>
        <w:ind w:firstLine="643" w:firstLineChars="200"/>
        <w:rPr>
          <w:rFonts w:ascii="黑体" w:hAnsi="黑体" w:eastAsia="黑体" w:cs="黑体"/>
          <w:szCs w:val="32"/>
        </w:rPr>
      </w:pPr>
      <w:bookmarkStart w:id="17" w:name="_Toc26960"/>
      <w:bookmarkStart w:id="18" w:name="_Toc7235"/>
      <w:bookmarkStart w:id="19" w:name="_Toc14376"/>
      <w:bookmarkStart w:id="20" w:name="_Toc11077"/>
      <w:r>
        <w:rPr>
          <w:rFonts w:hint="eastAsia" w:ascii="黑体" w:hAnsi="黑体" w:eastAsia="黑体" w:cs="黑体"/>
          <w:szCs w:val="32"/>
        </w:rPr>
        <w:t>二、绩效评价工作情况</w:t>
      </w:r>
      <w:bookmarkEnd w:id="17"/>
      <w:bookmarkEnd w:id="18"/>
      <w:bookmarkEnd w:id="19"/>
      <w:bookmarkEnd w:id="20"/>
    </w:p>
    <w:p>
      <w:pPr>
        <w:pStyle w:val="28"/>
        <w:spacing w:before="120" w:after="120" w:line="600" w:lineRule="exact"/>
        <w:ind w:firstLine="602" w:firstLineChars="200"/>
        <w:rPr>
          <w:rFonts w:ascii="仿宋" w:hAnsi="仿宋" w:eastAsia="仿宋"/>
          <w:sz w:val="30"/>
          <w:szCs w:val="30"/>
        </w:rPr>
      </w:pPr>
      <w:bookmarkStart w:id="21" w:name="_Toc27950"/>
      <w:bookmarkStart w:id="22" w:name="_Toc6913"/>
      <w:bookmarkStart w:id="23" w:name="_Toc6833"/>
      <w:bookmarkStart w:id="24" w:name="_Toc21304"/>
      <w:r>
        <w:rPr>
          <w:rFonts w:hint="eastAsia" w:ascii="仿宋" w:hAnsi="仿宋" w:eastAsia="仿宋"/>
          <w:sz w:val="30"/>
          <w:szCs w:val="30"/>
        </w:rPr>
        <w:t>（一）绩效评价依据</w:t>
      </w:r>
      <w:bookmarkEnd w:id="21"/>
      <w:bookmarkEnd w:id="22"/>
      <w:bookmarkEnd w:id="23"/>
      <w:bookmarkEnd w:id="24"/>
    </w:p>
    <w:p>
      <w:pPr>
        <w:spacing w:line="600" w:lineRule="exact"/>
        <w:ind w:left="150" w:leftChars="50" w:right="150" w:rightChars="50"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1.《中共中央国务院关于全面实施预算绩效管理的意见》（中发〔2018〕34号）；</w:t>
      </w:r>
    </w:p>
    <w:p>
      <w:pPr>
        <w:spacing w:line="600" w:lineRule="exact"/>
        <w:ind w:left="150" w:leftChars="50" w:right="150" w:rightChars="50"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2.《中共巫溪县委巫溪县人民政府关于全面实施预算绩效管理的实施意见》（巫溪委发〔2019〕27号）；</w:t>
      </w:r>
    </w:p>
    <w:p>
      <w:pPr>
        <w:spacing w:line="600" w:lineRule="exact"/>
        <w:ind w:left="150" w:leftChars="50" w:right="150" w:rightChars="50"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3.《巫溪县财政局关于印发巫溪县政策和项目预算绩效管理办法（试行）》的通知（溪财发〔2020〕53号）；</w:t>
      </w:r>
    </w:p>
    <w:p>
      <w:pPr>
        <w:widowControl/>
        <w:spacing w:line="600" w:lineRule="exact"/>
        <w:ind w:left="150" w:leftChars="50" w:right="150" w:rightChars="50"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4.《巫溪县财政局关于下达2019年部门预算的通知》（溪财发〔2019〕3-34号）；</w:t>
      </w:r>
    </w:p>
    <w:p>
      <w:pPr>
        <w:widowControl/>
        <w:spacing w:line="600" w:lineRule="exact"/>
        <w:ind w:left="150" w:leftChars="50" w:right="150" w:rightChars="50"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5.项目相关资金文件、财务资料、管理办法；</w:t>
      </w:r>
    </w:p>
    <w:p>
      <w:pPr>
        <w:widowControl/>
        <w:spacing w:line="600" w:lineRule="exact"/>
        <w:ind w:left="150" w:leftChars="50" w:right="150" w:rightChars="50"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6.其他相关依据。</w:t>
      </w:r>
      <w:bookmarkStart w:id="25" w:name="_Toc6605"/>
      <w:bookmarkEnd w:id="25"/>
      <w:bookmarkStart w:id="26" w:name="_Toc20510"/>
      <w:bookmarkEnd w:id="26"/>
    </w:p>
    <w:p>
      <w:pPr>
        <w:pStyle w:val="28"/>
        <w:spacing w:before="120" w:after="120" w:line="600" w:lineRule="exact"/>
        <w:ind w:firstLine="602" w:firstLineChars="200"/>
        <w:rPr>
          <w:rFonts w:ascii="仿宋" w:hAnsi="仿宋" w:eastAsia="仿宋"/>
          <w:sz w:val="30"/>
          <w:szCs w:val="30"/>
        </w:rPr>
      </w:pPr>
      <w:bookmarkStart w:id="27" w:name="_Toc12844"/>
      <w:bookmarkStart w:id="28" w:name="_Toc7178"/>
      <w:bookmarkStart w:id="29" w:name="_Toc1932"/>
      <w:r>
        <w:rPr>
          <w:rFonts w:hint="eastAsia" w:ascii="仿宋" w:hAnsi="仿宋" w:eastAsia="仿宋"/>
          <w:sz w:val="30"/>
          <w:szCs w:val="30"/>
        </w:rPr>
        <w:t>（二）评价主要目的、范围、内容</w:t>
      </w:r>
      <w:bookmarkEnd w:id="27"/>
      <w:bookmarkEnd w:id="28"/>
      <w:bookmarkEnd w:id="29"/>
    </w:p>
    <w:p>
      <w:pPr>
        <w:spacing w:beforeLines="50" w:afterLines="50" w:line="600" w:lineRule="exact"/>
        <w:ind w:firstLine="602" w:firstLineChars="200"/>
        <w:rPr>
          <w:rFonts w:ascii="仿宋" w:hAnsi="仿宋" w:eastAsia="仿宋" w:cs="仿宋"/>
          <w:szCs w:val="30"/>
        </w:rPr>
      </w:pPr>
      <w:r>
        <w:rPr>
          <w:rFonts w:hint="eastAsia" w:ascii="仿宋" w:hAnsi="仿宋" w:eastAsia="仿宋"/>
          <w:b/>
          <w:szCs w:val="30"/>
        </w:rPr>
        <w:t>1.评价主要目的</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通过对项目实施以及财政专项资金使用情况的调研和评价，客观反映项目的实施情况、财政资金使用效益，总结项目成功经验，科学研判项目实施以及资金使用过程中存在的问题和局限，为进一步提升预算管理水平、提高公共服务质量、优化公共资源配置提供决策参考，为未来类似项目专项资金安排、政策制度建设、预算绩效的推进提供必要的借鉴。</w:t>
      </w:r>
    </w:p>
    <w:p>
      <w:pPr>
        <w:spacing w:beforeLines="50" w:afterLines="50" w:line="600" w:lineRule="exact"/>
        <w:ind w:firstLine="602" w:firstLineChars="200"/>
        <w:rPr>
          <w:rFonts w:ascii="仿宋" w:hAnsi="仿宋" w:eastAsia="仿宋"/>
          <w:b/>
          <w:szCs w:val="30"/>
        </w:rPr>
      </w:pPr>
      <w:bookmarkStart w:id="30" w:name="_Toc7166"/>
      <w:bookmarkStart w:id="31" w:name="_Toc25764"/>
      <w:bookmarkStart w:id="32" w:name="_Toc18876941"/>
      <w:r>
        <w:rPr>
          <w:rFonts w:hint="eastAsia" w:ascii="仿宋" w:hAnsi="仿宋" w:eastAsia="仿宋"/>
          <w:b/>
          <w:szCs w:val="30"/>
        </w:rPr>
        <w:t>2.评价</w:t>
      </w:r>
      <w:bookmarkEnd w:id="30"/>
      <w:r>
        <w:rPr>
          <w:rFonts w:hint="eastAsia" w:ascii="仿宋" w:hAnsi="仿宋" w:eastAsia="仿宋"/>
          <w:b/>
          <w:szCs w:val="30"/>
        </w:rPr>
        <w:t>重点内容</w:t>
      </w:r>
      <w:bookmarkEnd w:id="31"/>
    </w:p>
    <w:p>
      <w:pPr>
        <w:spacing w:line="600" w:lineRule="exact"/>
        <w:ind w:firstLine="600" w:firstLineChars="200"/>
        <w:rPr>
          <w:rFonts w:ascii="仿宋_GB2312" w:cs="宋体"/>
          <w:color w:val="000000"/>
          <w:kern w:val="0"/>
          <w:szCs w:val="30"/>
        </w:rPr>
      </w:pPr>
      <w:r>
        <w:rPr>
          <w:rFonts w:hint="eastAsia" w:ascii="仿宋" w:hAnsi="仿宋" w:eastAsia="仿宋" w:cs="仿宋"/>
          <w:kern w:val="0"/>
          <w:szCs w:val="30"/>
        </w:rPr>
        <w:t>重点评价该项目财政资金使用的规范性、安全性和有效性及评价项目的社会效益、生态效益、可持续性。评价区间为2019</w:t>
      </w:r>
      <w:r>
        <w:rPr>
          <w:rFonts w:hint="eastAsia" w:ascii="仿宋" w:hAnsi="仿宋" w:eastAsia="仿宋" w:cs="仿宋"/>
          <w:kern w:val="44"/>
          <w:szCs w:val="30"/>
        </w:rPr>
        <w:t>年度</w:t>
      </w:r>
      <w:r>
        <w:rPr>
          <w:rFonts w:hint="eastAsia" w:ascii="仿宋" w:hAnsi="仿宋" w:eastAsia="仿宋" w:cs="仿宋"/>
          <w:kern w:val="0"/>
          <w:szCs w:val="30"/>
        </w:rPr>
        <w:t>。</w:t>
      </w:r>
      <w:bookmarkEnd w:id="32"/>
    </w:p>
    <w:p>
      <w:pPr>
        <w:pStyle w:val="28"/>
        <w:spacing w:before="120" w:after="120" w:line="600" w:lineRule="exact"/>
        <w:ind w:firstLine="602" w:firstLineChars="200"/>
        <w:rPr>
          <w:rFonts w:ascii="仿宋" w:hAnsi="仿宋" w:eastAsia="仿宋"/>
          <w:sz w:val="30"/>
          <w:szCs w:val="30"/>
        </w:rPr>
      </w:pPr>
      <w:bookmarkStart w:id="33" w:name="_Toc11746"/>
      <w:bookmarkStart w:id="34" w:name="_Toc10451"/>
      <w:bookmarkStart w:id="35" w:name="_Toc9701"/>
      <w:bookmarkStart w:id="36" w:name="_Toc4804"/>
      <w:r>
        <w:rPr>
          <w:rFonts w:hint="eastAsia" w:ascii="仿宋" w:hAnsi="仿宋" w:eastAsia="仿宋"/>
          <w:sz w:val="30"/>
          <w:szCs w:val="30"/>
        </w:rPr>
        <w:t>（三）</w:t>
      </w:r>
      <w:bookmarkEnd w:id="33"/>
      <w:r>
        <w:rPr>
          <w:rFonts w:hint="eastAsia" w:ascii="仿宋" w:hAnsi="仿宋" w:eastAsia="仿宋"/>
          <w:sz w:val="30"/>
          <w:szCs w:val="30"/>
        </w:rPr>
        <w:t>评价标准及评价方法</w:t>
      </w:r>
      <w:bookmarkEnd w:id="34"/>
      <w:bookmarkEnd w:id="35"/>
      <w:bookmarkEnd w:id="36"/>
    </w:p>
    <w:p>
      <w:pPr>
        <w:spacing w:line="600" w:lineRule="exact"/>
        <w:ind w:firstLine="600" w:firstLineChars="200"/>
        <w:jc w:val="left"/>
        <w:rPr>
          <w:rFonts w:ascii="仿宋" w:hAnsi="仿宋" w:eastAsia="仿宋" w:cs="仿宋"/>
          <w:kern w:val="0"/>
          <w:szCs w:val="30"/>
        </w:rPr>
      </w:pPr>
      <w:bookmarkStart w:id="37" w:name="_Toc7521"/>
      <w:r>
        <w:rPr>
          <w:rFonts w:hint="eastAsia" w:ascii="仿宋" w:hAnsi="仿宋" w:eastAsia="仿宋" w:cs="仿宋"/>
          <w:kern w:val="0"/>
          <w:szCs w:val="30"/>
        </w:rPr>
        <w:t>本次评价严格遵守国家法律、法规和政策规定，遵循科学规范、公正公开、绩效相关、定性与定量相结合的评价原则，采取计划标准、历史标准相结合的方式制定绩效评价指标体系及具体评价标准。本次评价方法采取现场和非现场评价相结合的方式实施，具体采用了比较法、因素分析法、公众评判法等评价方法。</w:t>
      </w:r>
    </w:p>
    <w:p>
      <w:pPr>
        <w:spacing w:line="600" w:lineRule="exact"/>
        <w:ind w:firstLine="600" w:firstLineChars="200"/>
        <w:jc w:val="left"/>
        <w:rPr>
          <w:rFonts w:ascii="仿宋" w:hAnsi="仿宋" w:eastAsia="仿宋" w:cs="仿宋"/>
          <w:kern w:val="0"/>
          <w:szCs w:val="30"/>
        </w:rPr>
      </w:pPr>
      <w:r>
        <w:rPr>
          <w:rFonts w:hint="eastAsia" w:ascii="仿宋" w:hAnsi="仿宋" w:eastAsia="仿宋" w:cs="仿宋"/>
          <w:kern w:val="0"/>
          <w:szCs w:val="30"/>
        </w:rPr>
        <w:t>1.比较法。是指通过对绩效目标与实施效果、历史与当期情况、不同部门和地区同类支出的比较，综合分析绩效目标实现程度。</w:t>
      </w:r>
    </w:p>
    <w:p>
      <w:pPr>
        <w:spacing w:line="600" w:lineRule="exact"/>
        <w:ind w:firstLine="600" w:firstLineChars="200"/>
        <w:jc w:val="left"/>
        <w:rPr>
          <w:rFonts w:ascii="仿宋" w:hAnsi="仿宋" w:eastAsia="仿宋" w:cs="仿宋"/>
          <w:kern w:val="0"/>
          <w:szCs w:val="30"/>
        </w:rPr>
      </w:pPr>
      <w:r>
        <w:rPr>
          <w:rFonts w:hint="eastAsia" w:ascii="仿宋" w:hAnsi="仿宋" w:eastAsia="仿宋" w:cs="仿宋"/>
          <w:kern w:val="0"/>
          <w:szCs w:val="30"/>
        </w:rPr>
        <w:t>2.因素分析法。通过综合分析影响绩效目标实现、实施效果的内外因素，评价绩效目标实现程度。</w:t>
      </w:r>
    </w:p>
    <w:p>
      <w:pPr>
        <w:spacing w:line="600" w:lineRule="exact"/>
        <w:ind w:firstLine="600" w:firstLineChars="200"/>
        <w:jc w:val="left"/>
        <w:rPr>
          <w:rFonts w:ascii="仿宋" w:hAnsi="仿宋" w:eastAsia="仿宋" w:cs="仿宋"/>
          <w:kern w:val="0"/>
          <w:szCs w:val="30"/>
        </w:rPr>
      </w:pPr>
      <w:r>
        <w:rPr>
          <w:rFonts w:hint="eastAsia" w:ascii="仿宋" w:hAnsi="仿宋" w:eastAsia="仿宋" w:cs="仿宋"/>
          <w:kern w:val="0"/>
          <w:szCs w:val="30"/>
        </w:rPr>
        <w:t>3.公众评判法。通过专家评估、公众问卷等对专项资金使用效果进行评判。</w:t>
      </w:r>
    </w:p>
    <w:p>
      <w:pPr>
        <w:pStyle w:val="28"/>
        <w:spacing w:before="120" w:after="120" w:line="600" w:lineRule="exact"/>
        <w:ind w:firstLine="602" w:firstLineChars="200"/>
        <w:rPr>
          <w:rFonts w:ascii="仿宋" w:hAnsi="仿宋" w:eastAsia="仿宋"/>
          <w:sz w:val="30"/>
          <w:szCs w:val="30"/>
        </w:rPr>
      </w:pPr>
      <w:bookmarkStart w:id="38" w:name="_Toc30187"/>
      <w:bookmarkStart w:id="39" w:name="_Toc16760"/>
      <w:r>
        <w:rPr>
          <w:rFonts w:hint="eastAsia" w:ascii="仿宋" w:hAnsi="仿宋" w:eastAsia="仿宋"/>
          <w:sz w:val="30"/>
          <w:szCs w:val="30"/>
        </w:rPr>
        <w:t>（四）评价指标体系</w:t>
      </w:r>
      <w:bookmarkEnd w:id="37"/>
      <w:bookmarkEnd w:id="38"/>
      <w:bookmarkEnd w:id="39"/>
    </w:p>
    <w:p>
      <w:pPr>
        <w:spacing w:line="600" w:lineRule="exact"/>
        <w:ind w:firstLine="600" w:firstLineChars="200"/>
        <w:jc w:val="left"/>
        <w:rPr>
          <w:rFonts w:ascii="仿宋" w:hAnsi="仿宋" w:eastAsia="仿宋" w:cs="仿宋"/>
          <w:kern w:val="0"/>
          <w:szCs w:val="30"/>
        </w:rPr>
      </w:pPr>
      <w:r>
        <w:rPr>
          <w:rFonts w:hint="eastAsia" w:ascii="仿宋" w:hAnsi="仿宋" w:eastAsia="仿宋" w:cs="仿宋"/>
          <w:kern w:val="0"/>
          <w:szCs w:val="30"/>
        </w:rPr>
        <w:t>根据项目的目标、实施方案、考核标准等，经与县财政局充分讨论，拟定巫溪县2019年城市环境卫生管理项目指标体系。整个指标体系分为投入（6分）、过程（34分）、产出（30分）及效果（30分），4个一级指标，并设置了11个二级指标、21个三级指标。具体指标详见附件1《巫溪县2019年城市环境卫生管理项目绩效评价指标体系及评分表》。</w:t>
      </w:r>
    </w:p>
    <w:p>
      <w:pPr>
        <w:pStyle w:val="2"/>
        <w:spacing w:beforeLines="50" w:afterLines="50" w:line="600" w:lineRule="exact"/>
        <w:ind w:firstLine="602" w:firstLineChars="200"/>
        <w:rPr>
          <w:rFonts w:ascii="仿宋" w:hAnsi="仿宋" w:eastAsia="仿宋" w:cs="仿宋"/>
          <w:kern w:val="0"/>
          <w:sz w:val="30"/>
          <w:szCs w:val="30"/>
        </w:rPr>
      </w:pPr>
      <w:bookmarkStart w:id="40" w:name="_Toc46324354"/>
      <w:bookmarkStart w:id="41" w:name="_Toc2299"/>
      <w:bookmarkStart w:id="42" w:name="_Toc14137"/>
      <w:bookmarkStart w:id="43" w:name="_Toc10595"/>
      <w:r>
        <w:rPr>
          <w:rFonts w:hint="eastAsia" w:ascii="仿宋" w:hAnsi="仿宋" w:eastAsia="仿宋" w:cs="仿宋"/>
          <w:kern w:val="0"/>
          <w:sz w:val="30"/>
          <w:szCs w:val="30"/>
        </w:rPr>
        <w:t>（五）评价样本确定情况</w:t>
      </w:r>
      <w:bookmarkEnd w:id="40"/>
      <w:bookmarkEnd w:id="41"/>
      <w:bookmarkEnd w:id="42"/>
      <w:bookmarkEnd w:id="43"/>
    </w:p>
    <w:p>
      <w:pPr>
        <w:spacing w:line="600" w:lineRule="exact"/>
        <w:ind w:firstLine="600" w:firstLineChars="200"/>
        <w:jc w:val="left"/>
        <w:rPr>
          <w:rFonts w:ascii="仿宋" w:hAnsi="仿宋" w:eastAsia="仿宋" w:cs="仿宋"/>
          <w:b/>
          <w:bCs/>
          <w:kern w:val="0"/>
          <w:szCs w:val="30"/>
        </w:rPr>
      </w:pPr>
      <w:r>
        <w:rPr>
          <w:rFonts w:hint="eastAsia" w:ascii="仿宋" w:hAnsi="仿宋" w:eastAsia="仿宋" w:cs="仿宋"/>
          <w:kern w:val="0"/>
          <w:szCs w:val="30"/>
        </w:rPr>
        <w:t>项目样本选择以确保评价内容完整、评价重点突出、评价结果客观为原则，在各类情形中分别随机选择5个以上的调查对象作为样本点，且全部样本点涉及的评价资金规模占评价项目资金的比例不低于10%。综合考虑本次评价项目样本为全县。</w:t>
      </w:r>
    </w:p>
    <w:p>
      <w:pPr>
        <w:pStyle w:val="28"/>
        <w:adjustRightInd w:val="0"/>
        <w:snapToGrid w:val="0"/>
        <w:spacing w:before="120" w:after="120" w:line="600" w:lineRule="exact"/>
        <w:ind w:firstLine="643" w:firstLineChars="200"/>
        <w:rPr>
          <w:rFonts w:ascii="黑体" w:hAnsi="黑体" w:eastAsia="黑体" w:cs="黑体"/>
        </w:rPr>
      </w:pPr>
      <w:bookmarkStart w:id="44" w:name="_Toc1630"/>
      <w:bookmarkStart w:id="45" w:name="_Toc4526"/>
      <w:bookmarkStart w:id="46" w:name="_Toc1199"/>
      <w:bookmarkStart w:id="47" w:name="_Toc20352"/>
      <w:r>
        <w:rPr>
          <w:rFonts w:hint="eastAsia" w:ascii="黑体" w:hAnsi="黑体" w:eastAsia="黑体" w:cs="黑体"/>
        </w:rPr>
        <w:t>三、绩效评价指标分析情况</w:t>
      </w:r>
      <w:bookmarkEnd w:id="44"/>
      <w:bookmarkEnd w:id="45"/>
      <w:bookmarkEnd w:id="46"/>
      <w:bookmarkEnd w:id="47"/>
    </w:p>
    <w:p>
      <w:pPr>
        <w:spacing w:line="600" w:lineRule="exact"/>
        <w:ind w:firstLine="600" w:firstLineChars="200"/>
        <w:rPr>
          <w:rFonts w:ascii="仿宋" w:hAnsi="仿宋" w:eastAsia="仿宋" w:cs="仿宋"/>
          <w:szCs w:val="30"/>
        </w:rPr>
      </w:pPr>
      <w:bookmarkStart w:id="48" w:name="_Toc29513"/>
      <w:r>
        <w:rPr>
          <w:rFonts w:hint="eastAsia" w:ascii="仿宋" w:hAnsi="仿宋" w:eastAsia="仿宋" w:cs="仿宋"/>
          <w:szCs w:val="30"/>
        </w:rPr>
        <w:t>按照《</w:t>
      </w:r>
      <w:r>
        <w:rPr>
          <w:rFonts w:hint="eastAsia" w:ascii="仿宋" w:hAnsi="仿宋" w:eastAsia="仿宋"/>
          <w:szCs w:val="30"/>
        </w:rPr>
        <w:t>巫溪县2019年城市环境卫生管理项目绩效评价指标体系</w:t>
      </w:r>
      <w:r>
        <w:rPr>
          <w:rFonts w:hint="eastAsia" w:ascii="仿宋" w:hAnsi="仿宋" w:eastAsia="仿宋" w:cs="仿宋"/>
          <w:szCs w:val="30"/>
        </w:rPr>
        <w:t>》中设定的指标逐一展开分析。</w:t>
      </w:r>
    </w:p>
    <w:p>
      <w:pPr>
        <w:pStyle w:val="28"/>
        <w:spacing w:before="120" w:after="120" w:line="600" w:lineRule="exact"/>
        <w:ind w:firstLine="602" w:firstLineChars="200"/>
        <w:rPr>
          <w:rFonts w:ascii="仿宋" w:hAnsi="仿宋" w:eastAsia="仿宋"/>
          <w:sz w:val="30"/>
          <w:szCs w:val="30"/>
        </w:rPr>
      </w:pPr>
      <w:bookmarkStart w:id="49" w:name="_Toc21950"/>
      <w:bookmarkStart w:id="50" w:name="_Toc30475"/>
      <w:bookmarkStart w:id="51" w:name="_Toc10800"/>
      <w:bookmarkStart w:id="52" w:name="_Toc29545"/>
      <w:bookmarkStart w:id="53" w:name="_Toc31887"/>
      <w:bookmarkStart w:id="54" w:name="_Toc31418"/>
      <w:bookmarkStart w:id="55" w:name="_Toc28792"/>
      <w:bookmarkStart w:id="56" w:name="_Toc17587243"/>
      <w:bookmarkStart w:id="57" w:name="_Toc18803"/>
      <w:r>
        <w:rPr>
          <w:rFonts w:hint="eastAsia" w:ascii="仿宋" w:hAnsi="仿宋" w:eastAsia="仿宋"/>
          <w:sz w:val="30"/>
          <w:szCs w:val="30"/>
        </w:rPr>
        <w:t>（一）项目指标情况分析</w:t>
      </w:r>
      <w:bookmarkEnd w:id="49"/>
      <w:bookmarkEnd w:id="50"/>
      <w:bookmarkEnd w:id="51"/>
    </w:p>
    <w:bookmarkEnd w:id="52"/>
    <w:bookmarkEnd w:id="53"/>
    <w:bookmarkEnd w:id="54"/>
    <w:bookmarkEnd w:id="55"/>
    <w:bookmarkEnd w:id="56"/>
    <w:bookmarkEnd w:id="57"/>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绩效目标合理性：</w:t>
      </w:r>
      <w:r>
        <w:rPr>
          <w:rFonts w:hint="eastAsia" w:ascii="仿宋" w:hAnsi="仿宋" w:eastAsia="仿宋" w:cs="仿宋"/>
          <w:bCs/>
          <w:color w:val="000000"/>
          <w:kern w:val="0"/>
          <w:szCs w:val="30"/>
        </w:rPr>
        <w:t>县城管局未在年初填报项目绩效目标申报表，未设定项目计划期内预期达到的业绩目标、预期产出的效益和效果，并据此考量完成的实绩，未将预算绩效目标管理与预算编制进行有机融合，不利项目预算管理及后期评价。但根据项目绩效目标自评表，设立的整体绩效目标依据充分，符合客观实际，符合国家法律法规、国民经济、社会发展总体规划以及市城管局有关文件精神，项目的实施有利于城市保持优美、整洁的人居环境。</w:t>
      </w:r>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绩效指标明确性：</w:t>
      </w:r>
      <w:r>
        <w:rPr>
          <w:rFonts w:hint="eastAsia" w:ascii="仿宋" w:hAnsi="仿宋" w:eastAsia="仿宋" w:cs="仿宋"/>
          <w:bCs/>
          <w:color w:val="000000"/>
          <w:kern w:val="0"/>
          <w:szCs w:val="30"/>
        </w:rPr>
        <w:t>根据项目绩效目标自评表所设定18个绩效指标，指标较清晰、细化、可衡量，并通过明细指标值予以体现。但县城管局未在年初填报项目绩效目标申报表，未设定项目计划期内预期达到的业绩目标、预期产出的效益和效果。</w:t>
      </w:r>
      <w:bookmarkEnd w:id="48"/>
    </w:p>
    <w:p>
      <w:pPr>
        <w:pStyle w:val="28"/>
        <w:spacing w:before="120" w:after="120" w:line="600" w:lineRule="exact"/>
        <w:ind w:firstLine="602" w:firstLineChars="200"/>
        <w:rPr>
          <w:rFonts w:ascii="仿宋" w:hAnsi="仿宋" w:eastAsia="仿宋"/>
          <w:sz w:val="30"/>
          <w:szCs w:val="30"/>
        </w:rPr>
      </w:pPr>
      <w:bookmarkStart w:id="58" w:name="_Toc2796"/>
      <w:bookmarkStart w:id="59" w:name="_Toc25272"/>
      <w:bookmarkStart w:id="60" w:name="_Toc27559"/>
      <w:bookmarkStart w:id="61" w:name="_Toc21641"/>
      <w:bookmarkStart w:id="62" w:name="_Toc313641002"/>
      <w:bookmarkStart w:id="63" w:name="_Toc415756500"/>
      <w:r>
        <w:rPr>
          <w:rFonts w:hint="eastAsia" w:ascii="仿宋" w:hAnsi="仿宋" w:eastAsia="仿宋"/>
          <w:sz w:val="30"/>
          <w:szCs w:val="30"/>
        </w:rPr>
        <w:t>（二）项目资金情况分析</w:t>
      </w:r>
      <w:bookmarkEnd w:id="58"/>
      <w:bookmarkEnd w:id="59"/>
      <w:bookmarkEnd w:id="60"/>
    </w:p>
    <w:bookmarkEnd w:id="61"/>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资金到位率：</w:t>
      </w:r>
      <w:r>
        <w:rPr>
          <w:rFonts w:hint="eastAsia" w:ascii="仿宋" w:hAnsi="仿宋" w:eastAsia="仿宋" w:cs="仿宋"/>
          <w:bCs/>
          <w:color w:val="000000"/>
          <w:kern w:val="0"/>
          <w:szCs w:val="30"/>
        </w:rPr>
        <w:t>根据县财政局《关于下达2019年部门预算的通知》及相关文件，城市环境卫生管理项目2019年财政预算安排资金4,010.65万元，实际到位资金4,010.65万元，资金到位率100.00%。</w:t>
      </w:r>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资金使用率：</w:t>
      </w:r>
      <w:r>
        <w:rPr>
          <w:rFonts w:hint="eastAsia" w:ascii="仿宋" w:hAnsi="仿宋" w:eastAsia="仿宋" w:cs="仿宋"/>
          <w:bCs/>
          <w:color w:val="000000"/>
          <w:kern w:val="0"/>
          <w:szCs w:val="30"/>
        </w:rPr>
        <w:t>城市环境卫生管理项目2019年年初预算安排资金4,010.65万元，截至2019年年底，项目实际使用3,370.43万元，财政资金使用率84.04%。</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财务</w:t>
      </w:r>
      <w:r>
        <w:rPr>
          <w:rFonts w:ascii="仿宋" w:hAnsi="仿宋" w:eastAsia="仿宋" w:cs="仿宋"/>
          <w:b/>
          <w:color w:val="000000"/>
          <w:kern w:val="0"/>
          <w:szCs w:val="30"/>
        </w:rPr>
        <w:t>制度健全性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县城管局及下属单位制定了单位财务管理制度，对资金进行管理。</w:t>
      </w:r>
    </w:p>
    <w:p>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资金使用合规性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项目资金支出基本符合国家财经法规和财务管理制度规定、预算批复的用途。但现场查看资料发现以下问题：</w:t>
      </w:r>
      <w:r>
        <w:rPr>
          <w:rFonts w:hint="eastAsia" w:ascii="仿宋" w:hAnsi="仿宋" w:eastAsia="仿宋" w:cs="仿宋"/>
          <w:b/>
          <w:color w:val="000000"/>
          <w:kern w:val="0"/>
          <w:szCs w:val="30"/>
        </w:rPr>
        <w:t>一是</w:t>
      </w:r>
      <w:r>
        <w:rPr>
          <w:rFonts w:hint="eastAsia" w:ascii="仿宋" w:hAnsi="仿宋" w:eastAsia="仿宋" w:cs="仿宋"/>
          <w:bCs/>
          <w:color w:val="000000"/>
          <w:kern w:val="0"/>
          <w:szCs w:val="30"/>
        </w:rPr>
        <w:t>项目资金未设专账或辅助账、项目收支不清晰。县城管局及下属单位均未按照县城管局制定的《财务管理办法》“我局对项目支出的管理基本采取‘一事一议’的书面报告制度，项目资金必须用于经批准的项目，做到专账核算、专款专用，不截留、挤占和挪用，严禁虚报冒领和虚列支出。”的规定，对项目资金实行专账、辅助账核算管理，导致项目收支不清晰，无法明确项目资金实际使用、结余等情况。另外，县城管局向下级单位下达项目资金时，与运行经费一同下达，无法明确判断该项目资金下达金额。</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二是</w:t>
      </w:r>
      <w:r>
        <w:rPr>
          <w:rFonts w:hint="eastAsia" w:ascii="仿宋" w:hAnsi="仿宋" w:eastAsia="仿宋" w:cs="仿宋"/>
          <w:bCs/>
          <w:color w:val="000000"/>
          <w:kern w:val="0"/>
          <w:szCs w:val="30"/>
        </w:rPr>
        <w:t>存在其他支出挤占项目资金的情况。经检查县环卫所“垃圾处理支出明细表”中存在非本项目支出，如2019年1月26#凭证，缴存垃圾处理费33.74万元。根据《重庆市城市管理局、重庆市财政局关于下达2019年城市生活垃圾处置费征收目标任务的通知》（渝城管局〔2019〕99号），巫溪县2019年城市生活垃圾处置费征收指标为300.00万元，但县环卫所实际征收金额为266.26万元，故县环卫所使用该项目资金用于缴存未达到垃圾征收目标的差额33.74万元。</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三是</w:t>
      </w:r>
      <w:r>
        <w:rPr>
          <w:rFonts w:hint="eastAsia" w:ascii="仿宋" w:hAnsi="仿宋" w:eastAsia="仿宋" w:cs="仿宋"/>
          <w:bCs/>
          <w:color w:val="000000"/>
          <w:kern w:val="0"/>
          <w:szCs w:val="30"/>
        </w:rPr>
        <w:t>截</w:t>
      </w:r>
      <w:r>
        <w:rPr>
          <w:rFonts w:hint="eastAsia" w:ascii="仿宋" w:hAnsi="仿宋" w:eastAsia="仿宋" w:cs="仿宋"/>
          <w:bCs/>
          <w:color w:val="000000"/>
          <w:kern w:val="0"/>
          <w:szCs w:val="30"/>
          <w:lang w:val="en-US" w:eastAsia="zh-CN"/>
        </w:rPr>
        <w:t>至</w:t>
      </w:r>
      <w:r>
        <w:rPr>
          <w:rFonts w:hint="eastAsia" w:ascii="仿宋" w:hAnsi="仿宋" w:eastAsia="仿宋" w:cs="仿宋"/>
          <w:bCs/>
          <w:color w:val="000000"/>
          <w:kern w:val="0"/>
          <w:szCs w:val="30"/>
        </w:rPr>
        <w:t>2020年8月31日，县设施所、县执法支队、县绿化所2019年财务凭证均未装订成册，易造成原始凭证等财务资料丢失。</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四是</w:t>
      </w:r>
      <w:r>
        <w:rPr>
          <w:rFonts w:hint="eastAsia" w:ascii="仿宋" w:hAnsi="仿宋" w:eastAsia="仿宋" w:cs="仿宋"/>
          <w:bCs/>
          <w:color w:val="000000"/>
          <w:kern w:val="0"/>
          <w:szCs w:val="30"/>
        </w:rPr>
        <w:t>财务报销附件不规范、不完整。各下属单位缴纳临聘人员社会保险报销附件中均未附有社保缴纳明细，无法明确辨别临聘人员社会保险缴纳情况。</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color w:val="000000"/>
          <w:kern w:val="0"/>
          <w:szCs w:val="30"/>
        </w:rPr>
        <w:t>五是</w:t>
      </w:r>
      <w:r>
        <w:rPr>
          <w:rFonts w:hint="eastAsia" w:ascii="仿宋" w:hAnsi="仿宋" w:eastAsia="仿宋" w:cs="仿宋"/>
          <w:bCs/>
          <w:color w:val="000000"/>
          <w:kern w:val="0"/>
          <w:szCs w:val="30"/>
        </w:rPr>
        <w:t>个别临聘人员的社会保险缴纳情况存疑。2019年度下属单位未为个别临聘人员缴纳社会保险，据现场询问了解，该部分临聘人员仍在领取国家的失业保险金，且未按照国家有关规定为临聘人员办理社会保险关系转移手续。</w:t>
      </w:r>
      <w:r>
        <w:rPr>
          <w:rFonts w:hint="eastAsia" w:ascii="仿宋" w:hAnsi="仿宋" w:eastAsia="仿宋" w:cs="仿宋"/>
          <w:color w:val="000000" w:themeColor="text1"/>
          <w:szCs w:val="30"/>
        </w:rPr>
        <w:t>如县执法支队黄度明、罗勇、陈永红等临聘人员。</w:t>
      </w:r>
    </w:p>
    <w:p>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财务监控有效性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该项目按照县城管局制定的财务管理办法进行资金监管，但县城管局及下属单位对项目未设置专账或辅助账进行核算、存在其他支出占用项目资金及部分下属单位财务凭证未装订等情况，财务监控质量有待提高。</w:t>
      </w:r>
    </w:p>
    <w:p>
      <w:pPr>
        <w:pStyle w:val="28"/>
        <w:spacing w:before="120" w:after="120" w:line="600" w:lineRule="exact"/>
        <w:ind w:firstLine="602" w:firstLineChars="200"/>
        <w:rPr>
          <w:rFonts w:ascii="仿宋" w:hAnsi="仿宋" w:eastAsia="仿宋"/>
          <w:sz w:val="30"/>
          <w:szCs w:val="30"/>
        </w:rPr>
      </w:pPr>
      <w:bookmarkStart w:id="64" w:name="_Toc89"/>
      <w:bookmarkStart w:id="65" w:name="_Toc5292"/>
      <w:bookmarkStart w:id="66" w:name="_Toc15974"/>
      <w:r>
        <w:rPr>
          <w:rFonts w:hint="eastAsia" w:ascii="仿宋" w:hAnsi="仿宋" w:eastAsia="仿宋"/>
          <w:sz w:val="30"/>
          <w:szCs w:val="30"/>
        </w:rPr>
        <w:t>（三）项目实施情况分析</w:t>
      </w:r>
      <w:bookmarkEnd w:id="64"/>
      <w:bookmarkEnd w:id="65"/>
      <w:bookmarkEnd w:id="66"/>
    </w:p>
    <w:p>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管理制度</w:t>
      </w:r>
      <w:r>
        <w:rPr>
          <w:rFonts w:hint="eastAsia" w:ascii="仿宋" w:hAnsi="仿宋" w:eastAsia="仿宋" w:cs="仿宋"/>
          <w:b/>
          <w:color w:val="000000"/>
          <w:kern w:val="0"/>
          <w:szCs w:val="30"/>
        </w:rPr>
        <w:t>健全性：</w:t>
      </w:r>
      <w:r>
        <w:rPr>
          <w:rFonts w:hint="eastAsia" w:ascii="仿宋" w:hAnsi="仿宋" w:eastAsia="仿宋" w:cs="仿宋"/>
          <w:bCs/>
          <w:color w:val="000000"/>
          <w:kern w:val="0"/>
          <w:szCs w:val="30"/>
        </w:rPr>
        <w:t>县城管局建立了内部控制制度、《临聘人员管理办法》等相关制度，完整且具备一定的可操作性，各下属单位参照县城管局制度执行。各下属单位根据自身业务内容明确了业务部门、人员的相关职责。</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采购程序规范性：</w:t>
      </w:r>
      <w:r>
        <w:rPr>
          <w:rFonts w:hint="eastAsia" w:ascii="仿宋" w:hAnsi="仿宋" w:eastAsia="仿宋" w:cs="仿宋"/>
          <w:bCs/>
          <w:color w:val="000000"/>
          <w:kern w:val="0"/>
          <w:szCs w:val="30"/>
        </w:rPr>
        <w:t>项目基本按照采购程序进行采购，但部分项目采购不规范。根据《巫溪县城市管理局采购管理办法》规定“…单次金额在1-20万元的项目，…1.根据“同意采购”报告书举荐不少于3家供货单位，由业务科室负责收集供货单位的相关资料；2.待业务科室完成资料收集后，对供货单位的法人资质、经营范围、信誉等进行资格审查，同时对提供的产品样品及相关技术资料的质量、性能、能否满足要求等进行符合性审查，形成备选单位。”但县环卫所购置厕所等易耗品，涉及金额3.46万元；县环卫所委托丰茂公司清理环卫基地排水沟及垃圾池，涉及金额5.11万元；县执法支队确定的劳务派遣公司重庆市恒易人力资源管理有限公司，均无相关采购过程资料。</w:t>
      </w:r>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制度执行情况：</w:t>
      </w:r>
      <w:r>
        <w:rPr>
          <w:rFonts w:hint="eastAsia" w:ascii="仿宋" w:hAnsi="仿宋" w:eastAsia="仿宋" w:cs="仿宋"/>
          <w:bCs/>
          <w:color w:val="000000"/>
          <w:kern w:val="0"/>
          <w:szCs w:val="30"/>
        </w:rPr>
        <w:t>项目基本上遵守相关法律法规和业务管理规定，实施人员条件、质量要求等基本落实到位。但县执法支队临聘人员工资发放不符合重庆市最低工资标准。《重庆市人力资源和社会保障局关于发布重庆市最低工资标准的通知》中规定“…巫溪县等12个县（自治县）职工最低月工资标准为1700元/月，非全日制职工最低小时工资标准为17元/小时。 …上述标准自2019年1月1日起执行，2016年1月1日公布的标准不再执行。”但县执法支队2019年临聘人员基本工资仍按照1500元/月发放，其发放标准低于重庆市最低工资标准的要求，且未补发相应工资。</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临聘人员管理有效性：</w:t>
      </w:r>
      <w:r>
        <w:rPr>
          <w:rFonts w:hint="eastAsia" w:ascii="仿宋" w:hAnsi="仿宋" w:eastAsia="仿宋" w:cs="仿宋"/>
          <w:bCs/>
          <w:color w:val="000000"/>
          <w:kern w:val="0"/>
          <w:szCs w:val="30"/>
        </w:rPr>
        <w:t>项目基本按照《临聘人员管理办法》对临聘人员进行管理，但临聘人员管理有效性不佳，存在以下情况：</w:t>
      </w:r>
      <w:r>
        <w:rPr>
          <w:rFonts w:hint="eastAsia" w:ascii="仿宋" w:hAnsi="仿宋" w:eastAsia="仿宋" w:cs="仿宋"/>
          <w:b/>
          <w:color w:val="000000"/>
          <w:kern w:val="0"/>
          <w:szCs w:val="30"/>
        </w:rPr>
        <w:t>一是</w:t>
      </w:r>
      <w:r>
        <w:rPr>
          <w:rFonts w:hint="eastAsia" w:ascii="仿宋" w:hAnsi="仿宋" w:eastAsia="仿宋" w:cs="仿宋"/>
          <w:bCs/>
          <w:color w:val="000000"/>
          <w:kern w:val="0"/>
          <w:szCs w:val="30"/>
        </w:rPr>
        <w:t>未按照规定执行招聘程序。县城管局及下属单位均未按照县城管局印发的《临聘人员管理办法》“招聘。经局长办公会同意的，由局综合科和用人单位按下列程序进行招聘：（一）制作招聘方案，发布招聘信息。由用人单位按照局长办公会确定的聘用内容制作招聘方案，可以通过网络、电视、报刊等方式向社会公开发布招聘信息。（二）报名和资格审查。严格按公开发布招聘信息的要求组织报名和对应聘人员进行资格审查。（三）组织考试。由局综合科和用人单位组织笔试、面试或专业实务测试等。”的规定，对临聘人员的招聘制定招聘方案、发布招聘信息、组织考试等，且未对相关招聘审核记录进行留痕。</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二是</w:t>
      </w:r>
      <w:r>
        <w:rPr>
          <w:rFonts w:hint="eastAsia" w:ascii="仿宋" w:hAnsi="仿宋" w:eastAsia="仿宋" w:cs="仿宋"/>
          <w:bCs/>
          <w:color w:val="000000"/>
          <w:kern w:val="0"/>
          <w:szCs w:val="30"/>
        </w:rPr>
        <w:t>对临聘人员考核管理执行不佳。县城管局及下属单位均未按照县城管局印发的《临聘人员管理办法》“考核管理。对临聘人员实行考核管理，考核时间、方法、内容与本单位正式职工相同，年度考核结果分为优秀、合格、基本合格和不合格四个等次，其中优秀比例不高于15%。年度考核结果与绩效工资挂钩，并作为对临聘人员续聘、解聘的主要依据。对工作表现特别突出的临聘人员，可经局长办公会决定后提拔聘用为中层干部。”的规定在2019年度对临聘人员进行考核管理，均未见考核记录、监督考察评价的过程资料。</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三是</w:t>
      </w:r>
      <w:r>
        <w:rPr>
          <w:rFonts w:hint="eastAsia" w:ascii="仿宋" w:hAnsi="仿宋" w:eastAsia="仿宋" w:cs="仿宋"/>
          <w:bCs/>
          <w:color w:val="000000"/>
          <w:kern w:val="0"/>
          <w:szCs w:val="30"/>
        </w:rPr>
        <w:t>各下属单位工资计算标准不一致。根据县绿化所工资发放表“备注：岗位工资包括管理工资、专技工资、技能工资，只享受其中一项，就高不就低”，县绿化所对临聘的岗位工资就管理工资、专技工资、技能工资三者中取其高的一项发放，但县设施所工资发放表中部分人员岗位工资享受了管理工资和专技工资两项。另外，县执法支队与县绿化所、县环卫所及县设施所全勤奖计算方式不同，县执法支队按照每月实际出勤天数计算出勤奖（20元/天），而县绿化所及县环卫所是按照440元/月扣除未出勤天数（20元/天）发放的，由于每月总出勤天数不同，导致两种计算方式的基础数额不同。</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合同及档案资料管理：</w:t>
      </w:r>
      <w:r>
        <w:rPr>
          <w:rFonts w:hint="eastAsia" w:ascii="仿宋" w:hAnsi="仿宋" w:eastAsia="仿宋" w:cs="仿宋"/>
          <w:bCs/>
          <w:color w:val="000000"/>
          <w:kern w:val="0"/>
          <w:szCs w:val="30"/>
        </w:rPr>
        <w:t>项目档案管理不够齐全、规范。</w:t>
      </w:r>
      <w:r>
        <w:rPr>
          <w:rFonts w:hint="eastAsia" w:ascii="仿宋" w:hAnsi="仿宋" w:eastAsia="仿宋" w:cs="仿宋"/>
          <w:b/>
          <w:color w:val="000000"/>
          <w:kern w:val="0"/>
          <w:szCs w:val="30"/>
        </w:rPr>
        <w:t>一是</w:t>
      </w:r>
      <w:r>
        <w:rPr>
          <w:rFonts w:hint="eastAsia" w:ascii="仿宋" w:hAnsi="仿宋" w:eastAsia="仿宋" w:cs="仿宋"/>
          <w:bCs/>
          <w:color w:val="000000"/>
          <w:kern w:val="0"/>
          <w:szCs w:val="30"/>
        </w:rPr>
        <w:t>临聘人员劳务合同签订不规范。部分临聘人员劳动合同已过期失效，未及时签订新的劳动合同。如县环卫所部分临聘人员自2016年起未续签劳动合同。</w:t>
      </w:r>
      <w:r>
        <w:rPr>
          <w:rFonts w:hint="eastAsia" w:ascii="仿宋" w:hAnsi="仿宋" w:eastAsia="仿宋" w:cs="仿宋"/>
          <w:b/>
          <w:color w:val="000000"/>
          <w:kern w:val="0"/>
          <w:szCs w:val="30"/>
        </w:rPr>
        <w:t>二是</w:t>
      </w:r>
      <w:r>
        <w:rPr>
          <w:rFonts w:hint="eastAsia" w:ascii="仿宋" w:hAnsi="仿宋" w:eastAsia="仿宋" w:cs="仿宋"/>
          <w:bCs/>
          <w:color w:val="000000"/>
          <w:kern w:val="0"/>
          <w:szCs w:val="30"/>
        </w:rPr>
        <w:t>临聘人员档案管理不规范。县城管局及下属单位均未按照县城管局印发的《临聘人员管理办法》“档案管理。自签订聘用合同起，临聘人员的人事档案关系原则上由各用人单位管理，在聘期内的聘用合同书、工资审批表、年度考核表、奖惩材料、学历证明、职称资格及其它需要归档的材料，存入个人工作档案。”的规定对临聘人员的个人档案进行管理，县绿化所、县设施所个人档案管理未安排专人进行管理、档案资料零散且不完整。县环卫所、县执法支队临聘人员个人档案中仅包含聘用合同、学历证明、职称资格。</w:t>
      </w:r>
    </w:p>
    <w:p>
      <w:pPr>
        <w:pStyle w:val="28"/>
        <w:spacing w:before="120" w:after="120" w:line="600" w:lineRule="exact"/>
        <w:ind w:firstLine="602" w:firstLineChars="200"/>
        <w:rPr>
          <w:rFonts w:ascii="仿宋" w:hAnsi="仿宋" w:eastAsia="仿宋"/>
          <w:sz w:val="30"/>
          <w:szCs w:val="30"/>
        </w:rPr>
      </w:pPr>
      <w:bookmarkStart w:id="67" w:name="_Toc26350"/>
      <w:bookmarkStart w:id="68" w:name="_Toc14131"/>
      <w:bookmarkStart w:id="69" w:name="_Toc11957"/>
      <w:bookmarkStart w:id="70" w:name="_Toc3405"/>
      <w:r>
        <w:rPr>
          <w:rFonts w:hint="eastAsia" w:ascii="仿宋" w:hAnsi="仿宋" w:eastAsia="仿宋"/>
          <w:sz w:val="30"/>
          <w:szCs w:val="30"/>
        </w:rPr>
        <w:t>（四）项目绩效情况分析</w:t>
      </w:r>
      <w:bookmarkEnd w:id="67"/>
      <w:bookmarkEnd w:id="68"/>
      <w:bookmarkEnd w:id="69"/>
    </w:p>
    <w:bookmarkEnd w:id="70"/>
    <w:p>
      <w:pPr>
        <w:spacing w:beforeLines="50" w:afterLines="50"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1.项目完成情况分析</w:t>
      </w:r>
    </w:p>
    <w:p>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城区清扫完成率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根据验收会议纪要等相关资料，城市清扫工作已全部完工，城区清扫完成率100%。</w:t>
      </w:r>
    </w:p>
    <w:p>
      <w:pPr>
        <w:spacing w:line="600" w:lineRule="exact"/>
        <w:ind w:firstLine="602" w:firstLineChars="200"/>
        <w:jc w:val="left"/>
        <w:rPr>
          <w:rFonts w:ascii="仿宋" w:hAnsi="仿宋" w:eastAsia="仿宋" w:cs="仿宋"/>
          <w:color w:val="000000"/>
          <w:kern w:val="0"/>
          <w:szCs w:val="30"/>
        </w:rPr>
      </w:pPr>
      <w:r>
        <w:rPr>
          <w:rFonts w:hint="eastAsia" w:ascii="仿宋" w:hAnsi="仿宋" w:eastAsia="仿宋" w:cs="仿宋"/>
          <w:b/>
          <w:color w:val="000000"/>
          <w:kern w:val="0"/>
          <w:szCs w:val="30"/>
        </w:rPr>
        <w:t>城市生活垃圾清运完成率：</w:t>
      </w:r>
      <w:r>
        <w:rPr>
          <w:rFonts w:ascii="仿宋" w:hAnsi="仿宋" w:eastAsia="仿宋" w:cs="仿宋"/>
          <w:color w:val="000000"/>
          <w:kern w:val="0"/>
          <w:szCs w:val="30"/>
        </w:rPr>
        <w:t>根据验收会议纪要等相关资料，县环卫</w:t>
      </w:r>
      <w:r>
        <w:rPr>
          <w:rFonts w:hint="eastAsia" w:ascii="仿宋" w:hAnsi="仿宋" w:eastAsia="仿宋" w:cs="仿宋"/>
          <w:color w:val="000000"/>
          <w:kern w:val="0"/>
          <w:szCs w:val="30"/>
        </w:rPr>
        <w:t>所</w:t>
      </w:r>
      <w:r>
        <w:rPr>
          <w:rFonts w:ascii="仿宋" w:hAnsi="仿宋" w:eastAsia="仿宋" w:cs="仿宋"/>
          <w:color w:val="000000"/>
          <w:kern w:val="0"/>
          <w:szCs w:val="30"/>
        </w:rPr>
        <w:t>安排专人负责垃圾清运工作，并安排专门压缩车垃圾清运路线，对城市垃圾随满随拖，2019年道路清扫项目已全部完工,城市生活垃圾清运完成率100%。</w:t>
      </w:r>
    </w:p>
    <w:p>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园林绿化日常维护有效率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县绿化所紧紧围绕绿化精细化、常态长效管理工作目标，完成2019年绿植栽培、草坪铺植、除草松土等绿化日常养护工作。经现场勘察，未发现不达标情况，园林绿化日常维护有效率100%。</w:t>
      </w:r>
    </w:p>
    <w:p>
      <w:pPr>
        <w:spacing w:line="600" w:lineRule="exact"/>
        <w:ind w:firstLine="602" w:firstLineChars="200"/>
        <w:jc w:val="left"/>
        <w:rPr>
          <w:rFonts w:ascii="仿宋" w:hAnsi="仿宋" w:eastAsia="仿宋" w:cs="仿宋"/>
          <w:b/>
          <w:color w:val="000000"/>
          <w:kern w:val="0"/>
          <w:szCs w:val="30"/>
        </w:rPr>
      </w:pPr>
      <w:r>
        <w:rPr>
          <w:rFonts w:ascii="仿宋" w:hAnsi="仿宋" w:eastAsia="仿宋" w:cs="仿宋"/>
          <w:b/>
          <w:color w:val="000000"/>
          <w:kern w:val="0"/>
          <w:szCs w:val="30"/>
        </w:rPr>
        <w:t>城区街道、路面保洁率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经现场勘察，未发现道路明显脏乱差情况，城区街道、路面保洁率100%。</w:t>
      </w:r>
    </w:p>
    <w:p>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市政设施质量合格率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经现场勘察隧道路灯，垃圾桶等市政设施，未发现破损、损坏的设施，市政设施质量合格率100%。</w:t>
      </w:r>
    </w:p>
    <w:p>
      <w:pPr>
        <w:spacing w:beforeLines="50" w:afterLines="50" w:line="600" w:lineRule="exact"/>
        <w:ind w:firstLine="602" w:firstLineChars="200"/>
        <w:rPr>
          <w:rFonts w:ascii="仿宋" w:hAnsi="仿宋" w:eastAsia="仿宋"/>
          <w:b/>
          <w:bCs/>
          <w:kern w:val="0"/>
          <w:szCs w:val="30"/>
        </w:rPr>
      </w:pPr>
      <w:bookmarkStart w:id="71" w:name="_Toc20210"/>
      <w:bookmarkStart w:id="72" w:name="_Toc917"/>
      <w:bookmarkStart w:id="73" w:name="_Toc18790"/>
      <w:bookmarkStart w:id="74" w:name="_Toc31293"/>
      <w:r>
        <w:rPr>
          <w:rFonts w:hint="eastAsia" w:ascii="仿宋" w:hAnsi="仿宋" w:eastAsia="仿宋" w:cs="仿宋"/>
          <w:b/>
          <w:szCs w:val="30"/>
        </w:rPr>
        <w:t>2.项目的</w:t>
      </w:r>
      <w:bookmarkEnd w:id="71"/>
      <w:bookmarkEnd w:id="72"/>
      <w:r>
        <w:rPr>
          <w:rFonts w:hint="eastAsia" w:ascii="仿宋" w:hAnsi="仿宋" w:eastAsia="仿宋" w:cs="仿宋"/>
          <w:b/>
          <w:szCs w:val="30"/>
        </w:rPr>
        <w:t>效益性分析</w:t>
      </w:r>
      <w:bookmarkEnd w:id="73"/>
      <w:bookmarkEnd w:id="74"/>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（1）社会效益</w:t>
      </w:r>
    </w:p>
    <w:p>
      <w:pPr>
        <w:spacing w:line="600" w:lineRule="exact"/>
        <w:ind w:firstLine="600" w:firstLineChars="200"/>
        <w:jc w:val="left"/>
        <w:rPr>
          <w:rFonts w:ascii="仿宋" w:hAnsi="仿宋" w:eastAsia="仿宋" w:cs="仿宋"/>
          <w:b/>
          <w:color w:val="000000"/>
          <w:kern w:val="0"/>
          <w:szCs w:val="30"/>
        </w:rPr>
      </w:pPr>
      <w:r>
        <w:rPr>
          <w:rFonts w:hint="eastAsia" w:ascii="仿宋" w:hAnsi="仿宋" w:eastAsia="仿宋" w:cs="仿宋"/>
        </w:rPr>
        <w:t>城市环卫、绿化、综合执法与设施设备是城市形象的重要组成部分，也是完善城市功能的重要内容之一。对临聘人员工资以及垃圾处理费的投入，为保持“整洁有序、路平灯亮、干净卫生、园林城市”的城市生活环境，提升城市档次、发展人民生活水平和质量提供了基础性的保障。</w:t>
      </w:r>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（2）生态效益</w:t>
      </w:r>
    </w:p>
    <w:p>
      <w:pPr>
        <w:spacing w:line="600" w:lineRule="exact"/>
        <w:ind w:firstLine="600" w:firstLineChars="200"/>
        <w:jc w:val="left"/>
        <w:rPr>
          <w:rFonts w:ascii="仿宋" w:hAnsi="仿宋" w:eastAsia="仿宋" w:cs="仿宋"/>
          <w:b/>
          <w:color w:val="000000"/>
          <w:kern w:val="0"/>
          <w:szCs w:val="30"/>
        </w:rPr>
      </w:pPr>
      <w:r>
        <w:rPr>
          <w:rFonts w:hint="eastAsia" w:ascii="仿宋" w:hAnsi="仿宋" w:eastAsia="仿宋" w:cs="仿宋"/>
        </w:rPr>
        <w:t>根据现场勘察，</w:t>
      </w:r>
      <w:r>
        <w:rPr>
          <w:rFonts w:hint="eastAsia" w:ascii="仿宋" w:hAnsi="仿宋" w:eastAsia="仿宋" w:cs="仿宋"/>
          <w:b/>
          <w:bCs/>
        </w:rPr>
        <w:t>一是</w:t>
      </w:r>
      <w:r>
        <w:rPr>
          <w:rFonts w:hint="eastAsia" w:ascii="仿宋" w:hAnsi="仿宋" w:eastAsia="仿宋" w:cs="仿宋"/>
        </w:rPr>
        <w:t>县环卫所建立了电子实时监控系统，对巫溪县所有环卫车辆进行监控，能够统筹出车时间，对环保车辆规范化管理。</w:t>
      </w:r>
      <w:r>
        <w:rPr>
          <w:rFonts w:hint="eastAsia" w:ascii="仿宋" w:hAnsi="仿宋" w:eastAsia="仿宋" w:cs="仿宋"/>
          <w:b/>
          <w:bCs/>
        </w:rPr>
        <w:t>二是</w:t>
      </w:r>
      <w:r>
        <w:rPr>
          <w:rFonts w:hint="eastAsia" w:ascii="仿宋" w:hAnsi="仿宋" w:eastAsia="仿宋" w:cs="仿宋"/>
        </w:rPr>
        <w:t>县环卫所建立了各岗位岗位职责和岗位管理区域划分，精确细化到车辆清运、清洗路线和人员清扫清运班次和区域划分，实现环境卫生管理项目精细化管理。</w:t>
      </w:r>
      <w:r>
        <w:rPr>
          <w:rFonts w:hint="eastAsia" w:ascii="仿宋" w:hAnsi="仿宋" w:eastAsia="仿宋" w:cs="仿宋"/>
          <w:b/>
          <w:bCs/>
        </w:rPr>
        <w:t>三是</w:t>
      </w:r>
      <w:r>
        <w:rPr>
          <w:rFonts w:hint="eastAsia" w:ascii="仿宋" w:hAnsi="仿宋" w:eastAsia="仿宋" w:cs="仿宋"/>
        </w:rPr>
        <w:t>现场抽取城厢镇延伸至宁河街道区域，环卫清扫、清运等效果较好，仅有少量街道存在落叶较多的情况。</w:t>
      </w:r>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（3）可持续发展</w:t>
      </w:r>
    </w:p>
    <w:p>
      <w:pPr>
        <w:spacing w:line="600" w:lineRule="exact"/>
        <w:ind w:firstLine="600" w:firstLineChars="200"/>
        <w:rPr>
          <w:rFonts w:ascii="仿宋" w:hAnsi="仿宋" w:eastAsia="仿宋" w:cs="仿宋"/>
          <w:b/>
          <w:bCs/>
        </w:rPr>
      </w:pPr>
      <w:r>
        <w:rPr>
          <w:rFonts w:hint="eastAsia" w:ascii="仿宋" w:hAnsi="仿宋" w:eastAsia="仿宋" w:cs="仿宋"/>
        </w:rPr>
        <w:t>环境卫生管理项目的实施美化了城市的生活环境、改善了城市的生态环境、实现了可持续发展；同时减少城市化的负面影响、在保持城市环境的生态平衡方面，具有其他设施无法替代的功效。随着时间的推移，其可持续效益不断增加，而其服务功能价值则时刻以间接形式体现。巫溪县2020年政府工作报告做出要求，全力抓好“城市开发”，着力提升城市品质，坚持精细化管理，深化城市“细管、智管、众管”，推进城市综合管理“七大工程”，持续开展“马路办公”。同时深化“四项创建”，成功创建“全国县级文明城市”“市级节水型城市”，努力提升城市品位，实现山清水秀城美人好，让近者悦、远者来，为城市管理可持续发展建立了中长期机制，提供了政策性保障。</w:t>
      </w:r>
    </w:p>
    <w:p>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（4）满意度</w:t>
      </w:r>
    </w:p>
    <w:p>
      <w:pPr>
        <w:spacing w:line="600" w:lineRule="exact"/>
        <w:ind w:firstLine="600" w:firstLineChars="200"/>
        <w:rPr>
          <w:rFonts w:ascii="仿宋" w:hAnsi="仿宋" w:eastAsia="仿宋" w:cs="仿宋"/>
        </w:rPr>
      </w:pPr>
      <w:r>
        <w:rPr>
          <w:rFonts w:hint="eastAsia" w:ascii="仿宋" w:hAnsi="仿宋" w:eastAsia="仿宋" w:cs="仿宋"/>
        </w:rPr>
        <w:t>通过问卷方式对2019年城市日常管护实施过程及效果等方面进行了30余份随机调查，根据问卷综合打分，受益对象综合满意度为98.00%。</w:t>
      </w:r>
    </w:p>
    <w:p>
      <w:pPr>
        <w:spacing w:line="600" w:lineRule="exact"/>
        <w:ind w:firstLine="602" w:firstLineChars="200"/>
        <w:jc w:val="center"/>
        <w:rPr>
          <w:rFonts w:ascii="仿宋" w:hAnsi="仿宋" w:eastAsia="仿宋" w:cs="仿宋"/>
          <w:b/>
          <w:bCs/>
        </w:rPr>
      </w:pPr>
      <w:r>
        <w:rPr>
          <w:rFonts w:hint="eastAsia" w:ascii="仿宋" w:hAnsi="仿宋" w:eastAsia="仿宋" w:cs="仿宋"/>
          <w:b/>
          <w:bCs/>
        </w:rPr>
        <w:t>满意度调查统计表</w:t>
      </w:r>
    </w:p>
    <w:tbl>
      <w:tblPr>
        <w:tblStyle w:val="14"/>
        <w:tblW w:w="8816" w:type="dxa"/>
        <w:jc w:val="center"/>
        <w:tblLayout w:type="fixed"/>
        <w:tblCellMar>
          <w:top w:w="0" w:type="dxa"/>
          <w:left w:w="0" w:type="dxa"/>
          <w:bottom w:w="0" w:type="dxa"/>
          <w:right w:w="0" w:type="dxa"/>
        </w:tblCellMar>
      </w:tblPr>
      <w:tblGrid>
        <w:gridCol w:w="492"/>
        <w:gridCol w:w="7391"/>
        <w:gridCol w:w="933"/>
      </w:tblGrid>
      <w:tr>
        <w:tblPrEx>
          <w:tblCellMar>
            <w:top w:w="0" w:type="dxa"/>
            <w:left w:w="0" w:type="dxa"/>
            <w:bottom w:w="0" w:type="dxa"/>
            <w:right w:w="0" w:type="dxa"/>
          </w:tblCellMar>
        </w:tblPrEx>
        <w:trPr>
          <w:trHeight w:val="511" w:hRule="atLeast"/>
          <w:tblHeader/>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问题</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满意度</w:t>
            </w:r>
          </w:p>
        </w:tc>
      </w:tr>
      <w:tr>
        <w:tblPrEx>
          <w:tblCellMar>
            <w:top w:w="0" w:type="dxa"/>
            <w:left w:w="0" w:type="dxa"/>
            <w:bottom w:w="0" w:type="dxa"/>
            <w:right w:w="0" w:type="dxa"/>
          </w:tblCellMar>
        </w:tblPrEx>
        <w:trPr>
          <w:trHeight w:val="27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您对巫溪县垃圾清运的整体管护效果是否满意？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98%</w:t>
            </w:r>
          </w:p>
        </w:tc>
      </w:tr>
      <w:tr>
        <w:tblPrEx>
          <w:tblCellMar>
            <w:top w:w="0" w:type="dxa"/>
            <w:left w:w="0" w:type="dxa"/>
            <w:bottom w:w="0" w:type="dxa"/>
            <w:right w:w="0" w:type="dxa"/>
          </w:tblCellMar>
        </w:tblPrEx>
        <w:trPr>
          <w:trHeight w:val="27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您对巫溪县主次干道、背街小巷的道路清扫保洁的整体管护效果是否满意？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98%</w:t>
            </w:r>
          </w:p>
        </w:tc>
      </w:tr>
      <w:tr>
        <w:tblPrEx>
          <w:tblCellMar>
            <w:top w:w="0" w:type="dxa"/>
            <w:left w:w="0" w:type="dxa"/>
            <w:bottom w:w="0" w:type="dxa"/>
            <w:right w:w="0" w:type="dxa"/>
          </w:tblCellMar>
        </w:tblPrEx>
        <w:trPr>
          <w:trHeight w:val="27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您对周边公厕的配备、维护及现状是否满意？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98%</w:t>
            </w:r>
          </w:p>
        </w:tc>
      </w:tr>
      <w:tr>
        <w:tblPrEx>
          <w:tblCellMar>
            <w:top w:w="0" w:type="dxa"/>
            <w:left w:w="0" w:type="dxa"/>
            <w:bottom w:w="0" w:type="dxa"/>
            <w:right w:w="0" w:type="dxa"/>
          </w:tblCellMar>
        </w:tblPrEx>
        <w:trPr>
          <w:trHeight w:val="27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您对市政设施（如：排水、照明、井盖、电缆、地砖、护栏、污水管网）维护及维修现状是否满意？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97%</w:t>
            </w:r>
          </w:p>
        </w:tc>
      </w:tr>
      <w:tr>
        <w:tblPrEx>
          <w:tblCellMar>
            <w:top w:w="0" w:type="dxa"/>
            <w:left w:w="0" w:type="dxa"/>
            <w:bottom w:w="0" w:type="dxa"/>
            <w:right w:w="0" w:type="dxa"/>
          </w:tblCellMar>
        </w:tblPrEx>
        <w:trPr>
          <w:trHeight w:val="27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您对城区绿化日常管理(如：树枝修剪、植物种栽)的效果是否满意？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99%</w:t>
            </w:r>
          </w:p>
        </w:tc>
      </w:tr>
      <w:tr>
        <w:tblPrEx>
          <w:tblCellMar>
            <w:top w:w="0" w:type="dxa"/>
            <w:left w:w="0" w:type="dxa"/>
            <w:bottom w:w="0" w:type="dxa"/>
            <w:right w:w="0" w:type="dxa"/>
          </w:tblCellMar>
        </w:tblPrEx>
        <w:trPr>
          <w:trHeight w:val="27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w:t>
            </w:r>
          </w:p>
        </w:tc>
        <w:tc>
          <w:tcPr>
            <w:tcW w:w="7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您对城区综合执法管理（如：清除牛皮癣、处理违规停车、占道经营）的效果是否满意？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98%</w:t>
            </w:r>
          </w:p>
        </w:tc>
      </w:tr>
      <w:tr>
        <w:tblPrEx>
          <w:tblCellMar>
            <w:top w:w="0" w:type="dxa"/>
            <w:left w:w="0" w:type="dxa"/>
            <w:bottom w:w="0" w:type="dxa"/>
            <w:right w:w="0" w:type="dxa"/>
          </w:tblCellMar>
        </w:tblPrEx>
        <w:trPr>
          <w:trHeight w:val="272" w:hRule="atLeast"/>
          <w:jc w:val="center"/>
        </w:trPr>
        <w:tc>
          <w:tcPr>
            <w:tcW w:w="78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合计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98%</w:t>
            </w:r>
          </w:p>
        </w:tc>
      </w:tr>
    </w:tbl>
    <w:p>
      <w:pPr>
        <w:pStyle w:val="2"/>
        <w:keepNext w:val="0"/>
        <w:keepLines w:val="0"/>
        <w:widowControl/>
        <w:adjustRightInd w:val="0"/>
        <w:snapToGrid w:val="0"/>
        <w:spacing w:beforeLines="50" w:afterLines="50" w:line="600" w:lineRule="exact"/>
        <w:ind w:firstLine="643" w:firstLineChars="200"/>
        <w:jc w:val="both"/>
        <w:rPr>
          <w:rFonts w:ascii="黑体" w:hAnsi="黑体" w:eastAsia="黑体" w:cs="黑体"/>
        </w:rPr>
      </w:pPr>
      <w:bookmarkStart w:id="75" w:name="_Toc24726"/>
      <w:bookmarkStart w:id="76" w:name="_Toc19648"/>
      <w:bookmarkStart w:id="77" w:name="_Toc20245"/>
      <w:bookmarkStart w:id="78" w:name="_Toc13378"/>
      <w:bookmarkStart w:id="79" w:name="_Toc6264"/>
      <w:bookmarkStart w:id="80" w:name="_Toc8445"/>
      <w:r>
        <w:rPr>
          <w:rFonts w:hint="eastAsia" w:ascii="黑体" w:hAnsi="黑体" w:eastAsia="黑体" w:cs="黑体"/>
        </w:rPr>
        <w:t>四、项目绩效管理情况</w:t>
      </w:r>
      <w:bookmarkEnd w:id="75"/>
      <w:bookmarkEnd w:id="76"/>
      <w:bookmarkEnd w:id="77"/>
    </w:p>
    <w:p>
      <w:pPr>
        <w:spacing w:line="600" w:lineRule="exact"/>
        <w:ind w:firstLine="600" w:firstLineChars="200"/>
        <w:rPr>
          <w:rFonts w:ascii="仿宋" w:hAnsi="仿宋" w:eastAsia="仿宋" w:cs="仿宋"/>
          <w:szCs w:val="30"/>
        </w:rPr>
      </w:pPr>
      <w:r>
        <w:rPr>
          <w:rFonts w:hint="eastAsia" w:ascii="仿宋" w:hAnsi="仿宋" w:eastAsia="仿宋" w:cs="仿宋"/>
          <w:szCs w:val="30"/>
        </w:rPr>
        <w:t>县城管局未在年初填报项目绩效目标申报表，未设定项目计划期内预期达到的业绩目标、预期产出的效益和效果，并据此考量完成的实绩，未将预算绩效目标管理与预算编制进行有机融合，不利项目预算管理及后期评价。</w:t>
      </w:r>
    </w:p>
    <w:p>
      <w:pPr>
        <w:pStyle w:val="2"/>
        <w:keepNext w:val="0"/>
        <w:keepLines w:val="0"/>
        <w:widowControl/>
        <w:adjustRightInd w:val="0"/>
        <w:snapToGrid w:val="0"/>
        <w:spacing w:beforeLines="50" w:afterLines="50" w:line="600" w:lineRule="exact"/>
        <w:ind w:firstLine="643" w:firstLineChars="200"/>
        <w:jc w:val="both"/>
        <w:rPr>
          <w:rFonts w:ascii="黑体" w:hAnsi="黑体" w:eastAsia="黑体" w:cs="黑体"/>
        </w:rPr>
      </w:pPr>
      <w:bookmarkStart w:id="81" w:name="_Toc26633"/>
      <w:r>
        <w:rPr>
          <w:rFonts w:hint="eastAsia" w:ascii="黑体" w:hAnsi="黑体" w:eastAsia="黑体" w:cs="黑体"/>
        </w:rPr>
        <w:t>五、</w:t>
      </w:r>
      <w:bookmarkEnd w:id="62"/>
      <w:bookmarkEnd w:id="63"/>
      <w:bookmarkEnd w:id="78"/>
      <w:r>
        <w:rPr>
          <w:rFonts w:hint="eastAsia" w:ascii="黑体" w:hAnsi="黑体" w:eastAsia="黑体" w:cs="黑体"/>
        </w:rPr>
        <w:t>评价结论及应用建议</w:t>
      </w:r>
      <w:bookmarkEnd w:id="79"/>
      <w:bookmarkEnd w:id="80"/>
      <w:bookmarkEnd w:id="81"/>
    </w:p>
    <w:p>
      <w:pPr>
        <w:widowControl/>
        <w:adjustRightInd w:val="0"/>
        <w:snapToGrid w:val="0"/>
        <w:spacing w:line="600" w:lineRule="exact"/>
        <w:ind w:firstLine="600" w:firstLineChars="200"/>
        <w:jc w:val="left"/>
        <w:rPr>
          <w:rFonts w:ascii="仿宋" w:hAnsi="仿宋" w:eastAsia="仿宋" w:cs="仿宋"/>
          <w:b/>
          <w:bCs/>
          <w:szCs w:val="30"/>
        </w:rPr>
      </w:pPr>
      <w:r>
        <w:rPr>
          <w:rFonts w:hint="eastAsia" w:ascii="仿宋" w:hAnsi="仿宋" w:eastAsia="仿宋" w:cs="仿宋"/>
          <w:szCs w:val="30"/>
        </w:rPr>
        <w:t>通过对巫溪县2019年城市环境卫生管理项目</w:t>
      </w:r>
      <w:r>
        <w:rPr>
          <w:rFonts w:hint="eastAsia" w:ascii="仿宋" w:hAnsi="仿宋" w:eastAsia="仿宋" w:cs="仿宋"/>
          <w:color w:val="000000" w:themeColor="text1"/>
          <w:szCs w:val="30"/>
        </w:rPr>
        <w:t>进行综合评分，本项目绩效评价最终得分为：</w:t>
      </w:r>
      <w:r>
        <w:rPr>
          <w:rFonts w:hint="eastAsia" w:ascii="仿宋" w:hAnsi="仿宋" w:eastAsia="仿宋" w:cs="仿宋"/>
          <w:b/>
          <w:bCs/>
          <w:color w:val="000000" w:themeColor="text1"/>
          <w:szCs w:val="30"/>
          <w:u w:val="single"/>
        </w:rPr>
        <w:t xml:space="preserve"> 81.5分 </w:t>
      </w:r>
      <w:r>
        <w:rPr>
          <w:rFonts w:hint="eastAsia" w:ascii="仿宋" w:hAnsi="仿宋" w:eastAsia="仿宋" w:cs="仿宋"/>
          <w:color w:val="000000" w:themeColor="text1"/>
          <w:szCs w:val="30"/>
        </w:rPr>
        <w:t>，评价等次为：</w:t>
      </w:r>
      <w:r>
        <w:rPr>
          <w:rFonts w:hint="eastAsia" w:ascii="仿宋" w:hAnsi="仿宋" w:eastAsia="仿宋" w:cs="仿宋"/>
          <w:b/>
          <w:color w:val="000000" w:themeColor="text1"/>
          <w:szCs w:val="30"/>
          <w:u w:val="single"/>
        </w:rPr>
        <w:t>良</w:t>
      </w:r>
      <w:r>
        <w:rPr>
          <w:rFonts w:hint="eastAsia" w:ascii="仿宋" w:hAnsi="仿宋" w:eastAsia="仿宋" w:cs="仿宋"/>
          <w:color w:val="000000" w:themeColor="text1"/>
          <w:szCs w:val="30"/>
        </w:rPr>
        <w:t>。项目效益主要体现在：城市环卫、绿化、综合执法与设施设备是城市形象的重要组成部分，也是完善城市功能的重要内容之一。对临聘人员工资以及垃圾处理费的投入，为保持“整洁有序、路平灯亮、干净卫生、园林城市”的城市生活环境，提升城市档次、发展人民生活水平和质量提供了基础性的保障。</w:t>
      </w:r>
    </w:p>
    <w:p>
      <w:pPr>
        <w:pStyle w:val="2"/>
        <w:keepNext w:val="0"/>
        <w:keepLines w:val="0"/>
        <w:widowControl/>
        <w:adjustRightInd w:val="0"/>
        <w:snapToGrid w:val="0"/>
        <w:spacing w:beforeLines="50" w:afterLines="50" w:line="600" w:lineRule="exact"/>
        <w:ind w:firstLine="643" w:firstLineChars="200"/>
        <w:jc w:val="both"/>
        <w:rPr>
          <w:rFonts w:ascii="黑体" w:hAnsi="黑体" w:eastAsia="黑体" w:cs="黑体"/>
        </w:rPr>
      </w:pPr>
      <w:bookmarkStart w:id="82" w:name="_Toc24493"/>
      <w:bookmarkStart w:id="83" w:name="_Toc6693"/>
      <w:bookmarkStart w:id="84" w:name="_Toc31141"/>
      <w:bookmarkStart w:id="85" w:name="_Toc31559"/>
      <w:r>
        <w:rPr>
          <w:rFonts w:hint="eastAsia" w:ascii="黑体" w:hAnsi="黑体" w:eastAsia="黑体" w:cs="黑体"/>
        </w:rPr>
        <w:t>六、存在的主要问题</w:t>
      </w:r>
      <w:bookmarkEnd w:id="82"/>
      <w:bookmarkEnd w:id="83"/>
      <w:bookmarkEnd w:id="84"/>
      <w:bookmarkEnd w:id="85"/>
    </w:p>
    <w:p>
      <w:pPr>
        <w:widowControl/>
        <w:adjustRightInd w:val="0"/>
        <w:snapToGrid w:val="0"/>
        <w:spacing w:beforeLines="50" w:afterLines="50" w:line="600" w:lineRule="exact"/>
        <w:ind w:firstLine="602" w:firstLineChars="200"/>
        <w:jc w:val="left"/>
        <w:rPr>
          <w:rFonts w:ascii="仿宋" w:hAnsi="仿宋" w:eastAsia="仿宋" w:cs="仿宋"/>
          <w:b/>
          <w:bCs/>
          <w:szCs w:val="30"/>
        </w:rPr>
      </w:pPr>
      <w:bookmarkStart w:id="86" w:name="_Toc32391"/>
      <w:bookmarkStart w:id="87" w:name="_Toc28702"/>
      <w:r>
        <w:rPr>
          <w:rFonts w:hint="eastAsia" w:ascii="仿宋" w:hAnsi="仿宋" w:eastAsia="仿宋" w:cs="仿宋"/>
          <w:b/>
          <w:bCs/>
          <w:szCs w:val="30"/>
        </w:rPr>
        <w:t>（一）绩效管理有待完善</w:t>
      </w:r>
    </w:p>
    <w:p>
      <w:pPr>
        <w:widowControl/>
        <w:adjustRightInd w:val="0"/>
        <w:snapToGrid w:val="0"/>
        <w:spacing w:line="600" w:lineRule="exact"/>
        <w:ind w:firstLine="600" w:firstLineChars="200"/>
        <w:jc w:val="left"/>
        <w:rPr>
          <w:rFonts w:ascii="仿宋" w:hAnsi="仿宋" w:eastAsia="仿宋" w:cs="仿宋"/>
          <w:color w:val="000000" w:themeColor="text1"/>
          <w:szCs w:val="30"/>
        </w:rPr>
      </w:pPr>
      <w:r>
        <w:rPr>
          <w:rFonts w:hint="eastAsia" w:ascii="仿宋" w:hAnsi="仿宋" w:eastAsia="仿宋" w:cs="仿宋"/>
          <w:color w:val="000000" w:themeColor="text1"/>
          <w:szCs w:val="30"/>
        </w:rPr>
        <w:t>县城管局未在年初填报项目绩效目标申报表，未设定项目计划期内预期达到的业绩目标、预期产出的效益和效果，并据此考量完成的实绩，未将预算绩效目标管理与预算编制和预算追加进行有机融合，不利项目预算管理及后期评价。</w:t>
      </w:r>
    </w:p>
    <w:p>
      <w:pPr>
        <w:widowControl/>
        <w:adjustRightInd w:val="0"/>
        <w:snapToGrid w:val="0"/>
        <w:spacing w:beforeLines="50" w:afterLines="50" w:line="600" w:lineRule="exact"/>
        <w:ind w:firstLine="602" w:firstLineChars="200"/>
        <w:jc w:val="left"/>
        <w:rPr>
          <w:rFonts w:ascii="仿宋" w:hAnsi="仿宋" w:eastAsia="仿宋" w:cs="仿宋"/>
          <w:b/>
          <w:bCs/>
          <w:szCs w:val="30"/>
        </w:rPr>
      </w:pPr>
      <w:r>
        <w:rPr>
          <w:rFonts w:hint="eastAsia" w:ascii="仿宋" w:hAnsi="仿宋" w:eastAsia="仿宋" w:cs="仿宋"/>
          <w:b/>
          <w:bCs/>
          <w:szCs w:val="30"/>
        </w:rPr>
        <w:t>（二）财务管理有待规范</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一是</w:t>
      </w:r>
      <w:r>
        <w:rPr>
          <w:rFonts w:hint="eastAsia" w:ascii="仿宋_GB2312"/>
          <w:b/>
          <w:bCs/>
          <w:szCs w:val="30"/>
        </w:rPr>
        <w:t>项目资金未设专账或辅助账、项目收支不清晰。</w:t>
      </w:r>
      <w:r>
        <w:rPr>
          <w:rFonts w:hint="eastAsia" w:ascii="仿宋" w:hAnsi="仿宋" w:eastAsia="仿宋" w:cs="仿宋"/>
          <w:color w:val="000000" w:themeColor="text1"/>
          <w:szCs w:val="30"/>
        </w:rPr>
        <w:t>县城管局及下属单位均未按照</w:t>
      </w:r>
      <w:r>
        <w:rPr>
          <w:rFonts w:hint="eastAsia" w:ascii="仿宋" w:hAnsi="仿宋" w:eastAsia="仿宋" w:cs="仿宋"/>
          <w:bCs/>
          <w:color w:val="000000"/>
          <w:kern w:val="0"/>
          <w:szCs w:val="30"/>
        </w:rPr>
        <w:t>县城管局制定的《财务管理办法》</w:t>
      </w:r>
      <w:r>
        <w:rPr>
          <w:rFonts w:hint="eastAsia" w:ascii="仿宋" w:hAnsi="仿宋" w:eastAsia="仿宋" w:cs="仿宋"/>
          <w:color w:val="000000" w:themeColor="text1"/>
          <w:szCs w:val="30"/>
        </w:rPr>
        <w:t>“我局对项目支出的管理基本采取‘一事一议’的书面报告制度，项目资金必须用于经批准的项目，做到专账核算、专款专用，不截留、挤占和挪用，严禁虚报冒领和虚列支出。”的规定，对项目资金实行专账、辅助账核算管理，导致项目收支不清晰，</w:t>
      </w:r>
      <w:r>
        <w:rPr>
          <w:rFonts w:hint="eastAsia" w:ascii="仿宋" w:hAnsi="仿宋" w:eastAsia="仿宋" w:cs="仿宋"/>
          <w:bCs/>
          <w:color w:val="000000"/>
          <w:kern w:val="0"/>
          <w:szCs w:val="30"/>
        </w:rPr>
        <w:t>无法明确项目资金实际使用情况、结余情况等。另外，县城管局向下级单位下达项目资金时，与运行经费一同下达，无法明确判断该项目资金下达金额</w:t>
      </w:r>
      <w:r>
        <w:rPr>
          <w:rFonts w:hint="eastAsia" w:ascii="仿宋_GB2312"/>
          <w:szCs w:val="30"/>
        </w:rPr>
        <w:t>。</w:t>
      </w:r>
    </w:p>
    <w:p>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bCs/>
          <w:color w:val="000000" w:themeColor="text1"/>
          <w:szCs w:val="30"/>
        </w:rPr>
        <w:t>二是存在其他支出挤占项目资金的情况。</w:t>
      </w:r>
      <w:r>
        <w:rPr>
          <w:rFonts w:hint="eastAsia" w:ascii="仿宋" w:hAnsi="仿宋" w:eastAsia="仿宋" w:cs="仿宋"/>
          <w:bCs/>
          <w:color w:val="000000"/>
          <w:kern w:val="0"/>
          <w:szCs w:val="30"/>
        </w:rPr>
        <w:t>经检查县环卫所“垃圾处理支出明细表”中存在非本项目支出，如2019年1月26</w:t>
      </w:r>
      <w:r>
        <w:rPr>
          <w:rFonts w:ascii="仿宋" w:hAnsi="仿宋" w:eastAsia="仿宋" w:cs="仿宋"/>
          <w:bCs/>
          <w:color w:val="000000"/>
          <w:kern w:val="0"/>
          <w:szCs w:val="30"/>
        </w:rPr>
        <w:t>#</w:t>
      </w:r>
      <w:r>
        <w:rPr>
          <w:rFonts w:hint="eastAsia" w:ascii="仿宋" w:hAnsi="仿宋" w:eastAsia="仿宋" w:cs="仿宋"/>
          <w:bCs/>
          <w:color w:val="000000"/>
          <w:kern w:val="0"/>
          <w:szCs w:val="30"/>
        </w:rPr>
        <w:t>凭证，缴存垃圾处理费33.74万元。根据《重庆市城市管理局、重庆市财政局关于下达2019年城市生活垃圾处置费征收目标任务的通知》（渝城管局〔2019〕99号），巫溪县2019年城市生活垃圾处置费征收指标为300.00万元，但县环卫所实际征收金额为266.26万元，故县环卫所使用该项目资金用于缴存未达到垃圾征收目标的差额33.74万元。</w:t>
      </w:r>
    </w:p>
    <w:p>
      <w:pPr>
        <w:spacing w:line="600" w:lineRule="exact"/>
        <w:ind w:firstLine="602" w:firstLineChars="200"/>
        <w:jc w:val="left"/>
        <w:rPr>
          <w:rFonts w:ascii="仿宋" w:hAnsi="仿宋" w:eastAsia="仿宋" w:cs="仿宋"/>
          <w:bCs/>
          <w:color w:val="000000" w:themeColor="text1"/>
          <w:kern w:val="0"/>
          <w:szCs w:val="30"/>
        </w:rPr>
      </w:pPr>
      <w:r>
        <w:rPr>
          <w:rFonts w:hint="eastAsia" w:ascii="仿宋" w:hAnsi="仿宋" w:eastAsia="仿宋" w:cs="仿宋"/>
          <w:b/>
          <w:color w:val="000000"/>
          <w:kern w:val="0"/>
          <w:szCs w:val="30"/>
        </w:rPr>
        <w:t>三是</w:t>
      </w:r>
      <w:r>
        <w:rPr>
          <w:rFonts w:hint="eastAsia" w:ascii="仿宋" w:hAnsi="仿宋" w:eastAsia="仿宋" w:cs="仿宋"/>
          <w:bCs/>
          <w:color w:val="000000"/>
          <w:kern w:val="0"/>
          <w:szCs w:val="30"/>
        </w:rPr>
        <w:t>截</w:t>
      </w:r>
      <w:r>
        <w:rPr>
          <w:rFonts w:hint="eastAsia" w:ascii="仿宋" w:hAnsi="仿宋" w:eastAsia="仿宋" w:cs="仿宋"/>
          <w:bCs/>
          <w:color w:val="000000"/>
          <w:kern w:val="0"/>
          <w:szCs w:val="30"/>
          <w:lang w:val="en-US" w:eastAsia="zh-CN"/>
        </w:rPr>
        <w:t>至</w:t>
      </w:r>
      <w:bookmarkStart w:id="93" w:name="_GoBack"/>
      <w:bookmarkEnd w:id="93"/>
      <w:r>
        <w:rPr>
          <w:rFonts w:hint="eastAsia" w:ascii="仿宋" w:hAnsi="仿宋" w:eastAsia="仿宋" w:cs="仿宋"/>
          <w:bCs/>
          <w:color w:val="000000"/>
          <w:kern w:val="0"/>
          <w:szCs w:val="30"/>
        </w:rPr>
        <w:t>2020年8月31日，县设施所、县执法支队、县绿化所2019年财务凭证均未装订成册，易造成原始凭证等财务资料丢失。</w:t>
      </w:r>
    </w:p>
    <w:p>
      <w:pPr>
        <w:widowControl/>
        <w:adjustRightInd w:val="0"/>
        <w:snapToGrid w:val="0"/>
        <w:spacing w:line="600" w:lineRule="exact"/>
        <w:ind w:firstLine="602" w:firstLineChars="200"/>
        <w:jc w:val="left"/>
        <w:rPr>
          <w:rFonts w:ascii="仿宋" w:hAnsi="仿宋" w:eastAsia="仿宋" w:cs="仿宋"/>
          <w:b/>
          <w:bCs/>
          <w:szCs w:val="30"/>
        </w:rPr>
      </w:pPr>
      <w:r>
        <w:rPr>
          <w:rFonts w:hint="eastAsia" w:ascii="仿宋" w:hAnsi="仿宋" w:eastAsia="仿宋" w:cs="仿宋"/>
          <w:b/>
          <w:bCs/>
          <w:color w:val="000000" w:themeColor="text1"/>
          <w:szCs w:val="30"/>
        </w:rPr>
        <w:t>四是</w:t>
      </w:r>
      <w:r>
        <w:rPr>
          <w:rFonts w:hint="eastAsia" w:ascii="仿宋" w:hAnsi="仿宋" w:eastAsia="仿宋" w:cs="仿宋"/>
          <w:b/>
          <w:bCs/>
          <w:color w:val="000000"/>
          <w:szCs w:val="30"/>
        </w:rPr>
        <w:t>财务报销附件不规范、不完整。</w:t>
      </w:r>
      <w:r>
        <w:rPr>
          <w:rFonts w:hint="eastAsia" w:ascii="仿宋" w:hAnsi="仿宋" w:eastAsia="仿宋" w:cs="仿宋"/>
          <w:bCs/>
          <w:color w:val="000000"/>
          <w:kern w:val="0"/>
          <w:szCs w:val="30"/>
        </w:rPr>
        <w:t>各下属单位缴纳临聘人员社会保险报销附件中均未附有社保缴纳明细，</w:t>
      </w:r>
      <w:r>
        <w:rPr>
          <w:rFonts w:hint="eastAsia" w:ascii="仿宋" w:hAnsi="仿宋" w:eastAsia="仿宋" w:cs="仿宋"/>
          <w:bCs/>
          <w:color w:val="000000" w:themeColor="text1"/>
          <w:kern w:val="0"/>
          <w:szCs w:val="30"/>
        </w:rPr>
        <w:t>无法明确辨别临聘人员社会保险缴纳情况</w:t>
      </w:r>
      <w:r>
        <w:rPr>
          <w:rFonts w:hint="eastAsia" w:ascii="仿宋" w:hAnsi="仿宋" w:eastAsia="仿宋" w:cs="仿宋"/>
          <w:bCs/>
          <w:color w:val="000000"/>
          <w:kern w:val="0"/>
          <w:szCs w:val="30"/>
        </w:rPr>
        <w:t>。</w:t>
      </w:r>
    </w:p>
    <w:p>
      <w:pPr>
        <w:widowControl/>
        <w:adjustRightInd w:val="0"/>
        <w:snapToGrid w:val="0"/>
        <w:spacing w:beforeLines="50" w:afterLines="50" w:line="600" w:lineRule="exact"/>
        <w:ind w:firstLine="602" w:firstLineChars="200"/>
        <w:jc w:val="left"/>
        <w:rPr>
          <w:rFonts w:ascii="仿宋" w:hAnsi="仿宋" w:eastAsia="仿宋" w:cs="仿宋"/>
          <w:b/>
          <w:bCs/>
          <w:szCs w:val="30"/>
        </w:rPr>
      </w:pPr>
      <w:r>
        <w:rPr>
          <w:rFonts w:hint="eastAsia" w:ascii="仿宋" w:hAnsi="仿宋" w:eastAsia="仿宋" w:cs="仿宋"/>
          <w:b/>
          <w:bCs/>
          <w:szCs w:val="30"/>
        </w:rPr>
        <w:t>（三）临聘人员管理不规范，制度执行力不佳</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一是未按照规定执行招聘程序。</w:t>
      </w:r>
      <w:r>
        <w:rPr>
          <w:rFonts w:hint="eastAsia" w:ascii="仿宋" w:hAnsi="仿宋" w:eastAsia="仿宋" w:cs="仿宋"/>
          <w:color w:val="000000" w:themeColor="text1"/>
          <w:szCs w:val="30"/>
        </w:rPr>
        <w:t>县城管局及下属单位均未按照县城管局印发的《临聘人员管理办法》“招聘。经局长办公会同意的，由局综合科和用人单位按下列程序进行招聘：（一）制作招聘方案，发布招聘信息。由用人单位按照局长办公会确定的聘用内容制作招聘方案，可以通过网络、电视、报刊等方式向社会公开发布招聘信息。（二）报名和资格审查。严格按公开发布招聘信息的要求组织报名和对应聘人员进行资格审查。（三）组织考试。由局综合科和用人单位组织笔试、面试或专业实务测试等。”的规定，对临聘人员的招聘制定招聘方案、发布招聘信息、组织考试等，且未对相关招聘审核记录进行留痕。</w:t>
      </w:r>
    </w:p>
    <w:p>
      <w:pPr>
        <w:widowControl/>
        <w:adjustRightInd w:val="0"/>
        <w:snapToGrid w:val="0"/>
        <w:spacing w:line="600" w:lineRule="exact"/>
        <w:ind w:firstLine="602" w:firstLineChars="200"/>
        <w:jc w:val="left"/>
        <w:rPr>
          <w:rFonts w:ascii="仿宋" w:hAnsi="仿宋" w:eastAsia="仿宋" w:cs="仿宋"/>
          <w:b/>
          <w:bCs/>
          <w:color w:val="000000" w:themeColor="text1"/>
          <w:szCs w:val="30"/>
        </w:rPr>
      </w:pPr>
      <w:r>
        <w:rPr>
          <w:rFonts w:hint="eastAsia" w:ascii="仿宋" w:hAnsi="仿宋" w:eastAsia="仿宋" w:cs="仿宋"/>
          <w:b/>
          <w:bCs/>
          <w:color w:val="000000" w:themeColor="text1"/>
          <w:szCs w:val="30"/>
        </w:rPr>
        <w:t>二是对临聘人员考核管理执行不佳。</w:t>
      </w:r>
      <w:r>
        <w:rPr>
          <w:rFonts w:hint="eastAsia" w:ascii="仿宋" w:hAnsi="仿宋" w:eastAsia="仿宋" w:cs="仿宋"/>
          <w:color w:val="000000" w:themeColor="text1"/>
          <w:szCs w:val="30"/>
        </w:rPr>
        <w:t>县城管局及下属单位均未按照县城管局印发的《临聘人员管理办法》“考核管理。对临聘人员实行考核管理，考核时间、方法、内容与本单位正式职工相同，年度考核结果分为优秀、合格、基本合格和不合格四个等次，其中优秀比例不高于15%。年度考核结果与绩效工资挂钩，并作为对临聘人员续聘、解聘的主要依据。对工作表现特别突出的临聘人员，可经局长办公会决定后提拔聘用为中层干部。”的规定在2019年度对临聘人员进行考核管理，均未见考核记录</w:t>
      </w:r>
      <w:r>
        <w:rPr>
          <w:rFonts w:ascii="仿宋" w:hAnsi="仿宋" w:eastAsia="仿宋" w:cs="仿宋"/>
          <w:color w:val="000000" w:themeColor="text1"/>
          <w:szCs w:val="30"/>
        </w:rPr>
        <w:t>、</w:t>
      </w:r>
      <w:r>
        <w:rPr>
          <w:rFonts w:hint="eastAsia" w:ascii="仿宋" w:hAnsi="仿宋" w:eastAsia="仿宋" w:cs="仿宋"/>
          <w:color w:val="000000" w:themeColor="text1"/>
          <w:szCs w:val="30"/>
        </w:rPr>
        <w:t>监督考察评价的过程资料</w:t>
      </w:r>
      <w:r>
        <w:rPr>
          <w:rFonts w:ascii="仿宋" w:hAnsi="仿宋" w:eastAsia="仿宋" w:cs="仿宋"/>
          <w:color w:val="000000" w:themeColor="text1"/>
          <w:szCs w:val="30"/>
        </w:rPr>
        <w:t>。</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三是各下属单位工资计算标准不一致。</w:t>
      </w:r>
      <w:r>
        <w:rPr>
          <w:rFonts w:hint="eastAsia" w:ascii="仿宋" w:hAnsi="仿宋" w:eastAsia="仿宋" w:cs="仿宋"/>
          <w:color w:val="000000" w:themeColor="text1"/>
          <w:szCs w:val="30"/>
        </w:rPr>
        <w:t>根据县绿化所工资发放表“备注：岗位工资包括管理工资、专技工资、技能工资，只享受其中一项，就高不就低”，县绿化所对临聘的岗位工资就管理工资、专技工资、技能工资三者中取其高的一项发放，但县设施所工资发放表中部分人员岗位工资享受了管理工资和专技工资两项。另外，县执法支队与县绿化所、县环卫所及县设施所全勤奖计算方式不同，县执法支队按照每月实际出勤天数计算出勤奖（</w:t>
      </w:r>
      <w:r>
        <w:rPr>
          <w:rFonts w:ascii="仿宋" w:hAnsi="仿宋" w:eastAsia="仿宋" w:cs="仿宋"/>
          <w:color w:val="000000" w:themeColor="text1"/>
          <w:szCs w:val="30"/>
        </w:rPr>
        <w:t>20</w:t>
      </w:r>
      <w:r>
        <w:rPr>
          <w:rFonts w:hint="eastAsia" w:ascii="仿宋" w:hAnsi="仿宋" w:eastAsia="仿宋" w:cs="仿宋"/>
          <w:color w:val="000000" w:themeColor="text1"/>
          <w:szCs w:val="30"/>
        </w:rPr>
        <w:t>元</w:t>
      </w:r>
      <w:r>
        <w:rPr>
          <w:rFonts w:ascii="仿宋" w:hAnsi="仿宋" w:eastAsia="仿宋" w:cs="仿宋"/>
          <w:color w:val="000000" w:themeColor="text1"/>
          <w:szCs w:val="30"/>
        </w:rPr>
        <w:t>/</w:t>
      </w:r>
      <w:r>
        <w:rPr>
          <w:rFonts w:hint="eastAsia" w:ascii="仿宋" w:hAnsi="仿宋" w:eastAsia="仿宋" w:cs="仿宋"/>
          <w:color w:val="000000" w:themeColor="text1"/>
          <w:szCs w:val="30"/>
        </w:rPr>
        <w:t>天），而县绿化所及县环卫所是按照440元/月扣除未出勤天数（</w:t>
      </w:r>
      <w:r>
        <w:rPr>
          <w:rFonts w:ascii="仿宋" w:hAnsi="仿宋" w:eastAsia="仿宋" w:cs="仿宋"/>
          <w:color w:val="000000" w:themeColor="text1"/>
          <w:szCs w:val="30"/>
        </w:rPr>
        <w:t>20</w:t>
      </w:r>
      <w:r>
        <w:rPr>
          <w:rFonts w:hint="eastAsia" w:ascii="仿宋" w:hAnsi="仿宋" w:eastAsia="仿宋" w:cs="仿宋"/>
          <w:color w:val="000000" w:themeColor="text1"/>
          <w:szCs w:val="30"/>
        </w:rPr>
        <w:t>元</w:t>
      </w:r>
      <w:r>
        <w:rPr>
          <w:rFonts w:ascii="仿宋" w:hAnsi="仿宋" w:eastAsia="仿宋" w:cs="仿宋"/>
          <w:color w:val="000000" w:themeColor="text1"/>
          <w:szCs w:val="30"/>
        </w:rPr>
        <w:t>/</w:t>
      </w:r>
      <w:r>
        <w:rPr>
          <w:rFonts w:hint="eastAsia" w:ascii="仿宋" w:hAnsi="仿宋" w:eastAsia="仿宋" w:cs="仿宋"/>
          <w:color w:val="000000" w:themeColor="text1"/>
          <w:szCs w:val="30"/>
        </w:rPr>
        <w:t>天）发放的，由于每月总出勤天数不同，导致两种计算方式的基础数额不同</w:t>
      </w:r>
      <w:r>
        <w:rPr>
          <w:rFonts w:ascii="仿宋" w:hAnsi="仿宋" w:eastAsia="仿宋" w:cs="仿宋"/>
          <w:color w:val="000000" w:themeColor="text1"/>
          <w:szCs w:val="30"/>
        </w:rPr>
        <w:t>。</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四是县执法支队临聘人员工资发放不符合重庆市最低工资标准。</w:t>
      </w:r>
      <w:r>
        <w:rPr>
          <w:rFonts w:hint="eastAsia" w:ascii="仿宋" w:hAnsi="仿宋" w:eastAsia="仿宋" w:cs="仿宋"/>
          <w:color w:val="000000" w:themeColor="text1"/>
          <w:szCs w:val="30"/>
        </w:rPr>
        <w:t>《重庆市人力资源和社会保障局关于发布重庆市最低工资标准的通知》中规定“…巫溪县等12个县（自治县）职工最低月工资标准为1700元/月，非全日制职工最低小时工资标准为17元/小时。 …上述标准自2019年1月1日起执行，2016年1月1日公布的标准不再执行。”但县执法支队2019年临聘人员基本工资仍按照1500元/月发放，其发放标准低于重庆市最低工资标准的要求，且未补发相应工资。</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五是个别临聘人员的社会保险缴纳情况存疑。</w:t>
      </w:r>
      <w:r>
        <w:rPr>
          <w:rFonts w:hint="eastAsia" w:ascii="仿宋" w:hAnsi="仿宋" w:eastAsia="仿宋" w:cs="仿宋"/>
          <w:color w:val="000000" w:themeColor="text1"/>
          <w:szCs w:val="30"/>
        </w:rPr>
        <w:t>2019年度各下属单位未为个别临聘人员缴纳社会保险，据现场询问了解，该部分临聘人员仍在领取国家的失业保险金，且未按照国家有关规定为临聘人员办理社会保险关系转移手续。如县执法支队黄度明、罗勇、陈永红等临聘人员。</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六是临聘人员劳务合同签订不规范。</w:t>
      </w:r>
      <w:r>
        <w:rPr>
          <w:rFonts w:hint="eastAsia" w:ascii="仿宋" w:hAnsi="仿宋" w:eastAsia="仿宋" w:cs="仿宋"/>
          <w:color w:val="000000" w:themeColor="text1"/>
          <w:szCs w:val="30"/>
        </w:rPr>
        <w:t>部分临聘人员劳动合同已过期失效，未及时签订新的劳动合同。如县环卫所部分临聘人员自</w:t>
      </w:r>
      <w:r>
        <w:rPr>
          <w:rFonts w:ascii="仿宋" w:hAnsi="仿宋" w:eastAsia="仿宋" w:cs="仿宋"/>
          <w:color w:val="000000" w:themeColor="text1"/>
          <w:szCs w:val="30"/>
        </w:rPr>
        <w:t>2016</w:t>
      </w:r>
      <w:r>
        <w:rPr>
          <w:rFonts w:hint="eastAsia" w:ascii="仿宋" w:hAnsi="仿宋" w:eastAsia="仿宋" w:cs="仿宋"/>
          <w:color w:val="000000" w:themeColor="text1"/>
          <w:szCs w:val="30"/>
        </w:rPr>
        <w:t>年起未续签劳动合同</w:t>
      </w:r>
      <w:r>
        <w:rPr>
          <w:rFonts w:ascii="仿宋" w:hAnsi="仿宋" w:eastAsia="仿宋" w:cs="仿宋"/>
          <w:color w:val="000000" w:themeColor="text1"/>
          <w:szCs w:val="30"/>
        </w:rPr>
        <w:t>。</w:t>
      </w:r>
    </w:p>
    <w:p>
      <w:pPr>
        <w:widowControl/>
        <w:adjustRightInd w:val="0"/>
        <w:snapToGrid w:val="0"/>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七是临聘人员档案管理不规范。</w:t>
      </w:r>
      <w:r>
        <w:rPr>
          <w:rFonts w:hint="eastAsia" w:ascii="仿宋" w:hAnsi="仿宋" w:eastAsia="仿宋" w:cs="仿宋"/>
          <w:color w:val="000000" w:themeColor="text1"/>
          <w:szCs w:val="30"/>
        </w:rPr>
        <w:t>县城管局及下属单位均未按照县城管局印发的《临聘人员管理办法》“档案管理。自签订聘用合同起，临聘人员的人事档案关系原则上由各用人单位管理，在聘期内的聘用合同书、工资审批表、年度考核表、奖惩材料、学历证明、职称资格及其它需要归档的材料，存入个人工作档案。”的规定对临聘人员的个人档案进行管理，县绿化所、县设施所个人档案管理未安排专人进行管理、零散且不完整，县环卫所、县执法支队临聘人员个人档案中仅包含聘用合同、学历证明、职称资格。</w:t>
      </w:r>
    </w:p>
    <w:p>
      <w:pPr>
        <w:widowControl/>
        <w:adjustRightInd w:val="0"/>
        <w:snapToGrid w:val="0"/>
        <w:spacing w:beforeLines="50" w:afterLines="50" w:line="600" w:lineRule="exact"/>
        <w:ind w:firstLine="602" w:firstLineChars="200"/>
        <w:jc w:val="left"/>
        <w:rPr>
          <w:rFonts w:ascii="仿宋" w:hAnsi="仿宋" w:eastAsia="仿宋" w:cs="仿宋"/>
          <w:b/>
          <w:bCs/>
          <w:szCs w:val="30"/>
        </w:rPr>
      </w:pPr>
      <w:r>
        <w:rPr>
          <w:rFonts w:hint="eastAsia" w:ascii="仿宋" w:hAnsi="仿宋" w:eastAsia="仿宋" w:cs="仿宋"/>
          <w:b/>
          <w:bCs/>
          <w:szCs w:val="30"/>
        </w:rPr>
        <w:t>（四）未按规定执行采购程序</w:t>
      </w:r>
    </w:p>
    <w:p>
      <w:pPr>
        <w:widowControl/>
        <w:adjustRightInd w:val="0"/>
        <w:snapToGrid w:val="0"/>
        <w:spacing w:line="600" w:lineRule="exact"/>
        <w:ind w:firstLine="600" w:firstLineChars="200"/>
        <w:jc w:val="left"/>
        <w:rPr>
          <w:rFonts w:ascii="仿宋" w:hAnsi="仿宋" w:eastAsia="仿宋" w:cs="仿宋"/>
          <w:color w:val="000000" w:themeColor="text1"/>
          <w:szCs w:val="30"/>
        </w:rPr>
      </w:pPr>
      <w:r>
        <w:rPr>
          <w:rFonts w:hint="eastAsia" w:ascii="仿宋" w:hAnsi="仿宋" w:eastAsia="仿宋" w:cs="仿宋"/>
          <w:color w:val="000000" w:themeColor="text1"/>
          <w:szCs w:val="30"/>
        </w:rPr>
        <w:t>根据《巫溪县城市管理局采购管理办法》规定“…单次金额在1-20万元的项目，…1.根据“同意采购”报告书举荐不少于3家供货单位，由业务科室负责收集供货单位的相关资料；2.待业务科室完成资料收集后，对供货单位的法人资质、经营范围、信誉等进行资格审查，同时对提供的产品样品及相关技术资料的质量、性能、能否满足要求等进行符合性审查，形成备选单位。”县环卫所购置厕所等易耗品，涉及金额3.46万元，未执行相关采购程序；县环卫所委托丰茂公司清理环卫基地排水沟及垃圾池，涉及金额5.11万元，未执行相关采购程序；县执法支队确定的劳务派遣公司重庆市恒易人力资源管理有限公司，均无相关采购过程资料。</w:t>
      </w:r>
    </w:p>
    <w:p>
      <w:pPr>
        <w:pStyle w:val="2"/>
        <w:keepNext w:val="0"/>
        <w:keepLines w:val="0"/>
        <w:widowControl/>
        <w:numPr>
          <w:ilvl w:val="255"/>
          <w:numId w:val="0"/>
        </w:numPr>
        <w:adjustRightInd w:val="0"/>
        <w:snapToGrid w:val="0"/>
        <w:spacing w:beforeLines="50" w:afterLines="50" w:line="600" w:lineRule="exact"/>
        <w:ind w:firstLine="643" w:firstLineChars="200"/>
        <w:jc w:val="both"/>
        <w:rPr>
          <w:rFonts w:ascii="黑体" w:hAnsi="黑体" w:eastAsia="黑体" w:cs="黑体"/>
        </w:rPr>
      </w:pPr>
      <w:bookmarkStart w:id="88" w:name="_Toc3932"/>
      <w:bookmarkStart w:id="89" w:name="_Toc19251"/>
      <w:r>
        <w:rPr>
          <w:rFonts w:hint="eastAsia" w:ascii="黑体" w:hAnsi="黑体" w:eastAsia="黑体" w:cs="黑体"/>
        </w:rPr>
        <w:t>七、主要建议</w:t>
      </w:r>
      <w:bookmarkEnd w:id="86"/>
      <w:bookmarkEnd w:id="87"/>
      <w:bookmarkEnd w:id="88"/>
      <w:bookmarkEnd w:id="89"/>
    </w:p>
    <w:p>
      <w:pPr>
        <w:widowControl/>
        <w:adjustRightInd w:val="0"/>
        <w:snapToGrid w:val="0"/>
        <w:spacing w:beforeLines="50" w:afterLines="50" w:line="600" w:lineRule="exact"/>
        <w:ind w:firstLine="602" w:firstLineChars="200"/>
        <w:jc w:val="left"/>
        <w:rPr>
          <w:rFonts w:ascii="仿宋" w:hAnsi="仿宋" w:eastAsia="仿宋" w:cs="仿宋"/>
          <w:b/>
          <w:bCs/>
          <w:szCs w:val="30"/>
        </w:rPr>
      </w:pPr>
      <w:r>
        <w:rPr>
          <w:rFonts w:hint="eastAsia" w:ascii="仿宋" w:hAnsi="仿宋" w:eastAsia="仿宋" w:cs="仿宋"/>
          <w:b/>
          <w:bCs/>
          <w:szCs w:val="30"/>
        </w:rPr>
        <w:t>（一）加强绩效管理</w:t>
      </w:r>
    </w:p>
    <w:p>
      <w:pPr>
        <w:widowControl/>
        <w:tabs>
          <w:tab w:val="left" w:pos="5205"/>
        </w:tabs>
        <w:spacing w:line="600" w:lineRule="exact"/>
        <w:ind w:firstLine="600" w:firstLineChars="200"/>
        <w:jc w:val="left"/>
        <w:rPr>
          <w:rFonts w:ascii="仿宋" w:hAnsi="仿宋" w:eastAsia="仿宋" w:cs="仿宋"/>
          <w:color w:val="000000" w:themeColor="text1"/>
          <w:szCs w:val="30"/>
        </w:rPr>
      </w:pPr>
      <w:r>
        <w:rPr>
          <w:rFonts w:hint="eastAsia" w:ascii="仿宋" w:hAnsi="仿宋" w:eastAsia="仿宋" w:cs="仿宋"/>
          <w:color w:val="000000" w:themeColor="text1"/>
          <w:szCs w:val="30"/>
        </w:rPr>
        <w:t>大力推进绩效管理，年初设定项目计划期内预期达到的业绩目标、预期产出的效益和效果，将预算绩效目标管理与预算编制和预算追加进行有机融合</w:t>
      </w:r>
      <w:r>
        <w:rPr>
          <w:rFonts w:hint="eastAsia" w:ascii="仿宋" w:hAnsi="仿宋" w:eastAsia="仿宋" w:cs="仿宋"/>
          <w:color w:val="000000"/>
          <w:szCs w:val="30"/>
        </w:rPr>
        <w:t>，提高资金使用效益</w:t>
      </w:r>
      <w:r>
        <w:rPr>
          <w:rFonts w:hint="eastAsia" w:ascii="仿宋" w:hAnsi="仿宋" w:eastAsia="仿宋" w:cs="仿宋"/>
          <w:color w:val="000000" w:themeColor="text1"/>
          <w:szCs w:val="30"/>
        </w:rPr>
        <w:t>，并</w:t>
      </w:r>
      <w:r>
        <w:rPr>
          <w:rFonts w:hint="eastAsia" w:ascii="仿宋" w:hAnsi="仿宋" w:eastAsia="仿宋" w:cs="仿宋"/>
          <w:color w:val="000000"/>
          <w:szCs w:val="30"/>
        </w:rPr>
        <w:t>加大对项目实施单位的监督检查。</w:t>
      </w:r>
    </w:p>
    <w:p>
      <w:pPr>
        <w:widowControl/>
        <w:adjustRightInd w:val="0"/>
        <w:snapToGrid w:val="0"/>
        <w:spacing w:beforeLines="50" w:afterLines="50" w:line="600" w:lineRule="exact"/>
        <w:ind w:firstLine="602" w:firstLineChars="200"/>
        <w:jc w:val="left"/>
        <w:rPr>
          <w:rFonts w:ascii="仿宋" w:hAnsi="仿宋" w:eastAsia="仿宋" w:cs="仿宋"/>
          <w:b/>
          <w:bCs/>
          <w:szCs w:val="30"/>
        </w:rPr>
      </w:pPr>
      <w:r>
        <w:rPr>
          <w:rFonts w:hint="eastAsia" w:ascii="仿宋" w:hAnsi="仿宋" w:eastAsia="仿宋" w:cs="仿宋"/>
          <w:b/>
          <w:bCs/>
          <w:szCs w:val="30"/>
        </w:rPr>
        <w:t>（二）加强项目资金监管，规范项目财务管理</w:t>
      </w:r>
    </w:p>
    <w:p>
      <w:pPr>
        <w:widowControl/>
        <w:tabs>
          <w:tab w:val="left" w:pos="5205"/>
        </w:tabs>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一是</w:t>
      </w:r>
      <w:r>
        <w:rPr>
          <w:rFonts w:hint="eastAsia" w:ascii="仿宋" w:hAnsi="仿宋" w:eastAsia="仿宋" w:cs="仿宋"/>
          <w:color w:val="000000" w:themeColor="text1"/>
          <w:szCs w:val="30"/>
        </w:rPr>
        <w:t>加强项目资金管理，项目资金应设专账或辅助账，避免资金混用风险，严禁项目资金截留、挤占混用、挪用、借支、垫支、虚列等情况发生，同时主管部门要加强资金监管，切实避免挤占、挪用现象发生。</w:t>
      </w:r>
    </w:p>
    <w:p>
      <w:pPr>
        <w:widowControl/>
        <w:tabs>
          <w:tab w:val="left" w:pos="5205"/>
        </w:tabs>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二是</w:t>
      </w:r>
      <w:r>
        <w:rPr>
          <w:rFonts w:hint="eastAsia" w:ascii="仿宋" w:hAnsi="仿宋" w:eastAsia="仿宋" w:cs="仿宋"/>
          <w:color w:val="000000" w:themeColor="text1"/>
          <w:szCs w:val="30"/>
        </w:rPr>
        <w:t>加强对资金使用的风险把控，在今后工作中，严格审核报销单据的真实性、完整性、合法合规性，规范财务报销附件内容。</w:t>
      </w:r>
    </w:p>
    <w:p>
      <w:pPr>
        <w:widowControl/>
        <w:tabs>
          <w:tab w:val="left" w:pos="5205"/>
        </w:tabs>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三是</w:t>
      </w:r>
      <w:r>
        <w:rPr>
          <w:rFonts w:hint="eastAsia" w:ascii="仿宋" w:hAnsi="仿宋" w:eastAsia="仿宋" w:cs="仿宋"/>
          <w:color w:val="000000" w:themeColor="text1"/>
          <w:szCs w:val="30"/>
        </w:rPr>
        <w:t>严格按照财务管理制度进行单位财务活动，财务工作结束后及时将凭证装订成册，规范财务工作。</w:t>
      </w:r>
    </w:p>
    <w:p>
      <w:pPr>
        <w:widowControl/>
        <w:tabs>
          <w:tab w:val="left" w:pos="5205"/>
        </w:tabs>
        <w:spacing w:line="600" w:lineRule="exact"/>
        <w:ind w:firstLine="602" w:firstLineChars="200"/>
        <w:jc w:val="left"/>
        <w:rPr>
          <w:rFonts w:ascii="仿宋" w:hAnsi="仿宋" w:eastAsia="仿宋" w:cs="仿宋"/>
          <w:color w:val="000000" w:themeColor="text1"/>
          <w:szCs w:val="30"/>
        </w:rPr>
      </w:pPr>
      <w:r>
        <w:rPr>
          <w:rFonts w:hint="eastAsia" w:ascii="仿宋" w:hAnsi="仿宋" w:eastAsia="仿宋" w:cs="仿宋"/>
          <w:b/>
          <w:bCs/>
          <w:color w:val="000000" w:themeColor="text1"/>
          <w:szCs w:val="30"/>
        </w:rPr>
        <w:t>四是</w:t>
      </w:r>
      <w:r>
        <w:rPr>
          <w:rFonts w:hint="eastAsia" w:ascii="仿宋" w:hAnsi="仿宋" w:eastAsia="仿宋" w:cs="仿宋"/>
          <w:color w:val="000000" w:themeColor="text1"/>
          <w:szCs w:val="30"/>
        </w:rPr>
        <w:t>加强单位内部财务监控，定期对财务人员进行培训，提升财会人员的专业能力，规范财务核算。</w:t>
      </w:r>
    </w:p>
    <w:p>
      <w:pPr>
        <w:widowControl/>
        <w:adjustRightInd w:val="0"/>
        <w:snapToGrid w:val="0"/>
        <w:spacing w:beforeLines="50" w:afterLines="50" w:line="600" w:lineRule="exact"/>
        <w:ind w:firstLine="602" w:firstLineChars="200"/>
        <w:jc w:val="left"/>
        <w:rPr>
          <w:rFonts w:ascii="仿宋" w:hAnsi="仿宋" w:eastAsia="仿宋" w:cs="仿宋"/>
          <w:b/>
          <w:bCs/>
          <w:szCs w:val="30"/>
        </w:rPr>
      </w:pPr>
      <w:r>
        <w:rPr>
          <w:rFonts w:hint="eastAsia" w:ascii="仿宋" w:hAnsi="仿宋" w:eastAsia="仿宋" w:cs="仿宋"/>
          <w:b/>
          <w:bCs/>
          <w:szCs w:val="30"/>
        </w:rPr>
        <w:t>（三）加强临聘人员的管理以及管理制度的执行</w:t>
      </w:r>
    </w:p>
    <w:p>
      <w:pPr>
        <w:pStyle w:val="4"/>
        <w:keepNext w:val="0"/>
        <w:keepLines w:val="0"/>
        <w:rPr>
          <w:rFonts w:ascii="仿宋" w:hAnsi="仿宋" w:eastAsia="仿宋" w:cs="仿宋"/>
          <w:sz w:val="30"/>
          <w:szCs w:val="30"/>
        </w:rPr>
      </w:pPr>
      <w:r>
        <w:rPr>
          <w:rFonts w:hint="eastAsia" w:ascii="仿宋" w:hAnsi="仿宋" w:eastAsia="仿宋" w:cs="仿宋"/>
          <w:sz w:val="30"/>
          <w:szCs w:val="30"/>
        </w:rPr>
        <w:t>一是</w:t>
      </w:r>
      <w:r>
        <w:rPr>
          <w:rFonts w:hint="eastAsia" w:ascii="仿宋" w:hAnsi="仿宋" w:eastAsia="仿宋" w:cs="仿宋"/>
          <w:b w:val="0"/>
          <w:bCs/>
          <w:sz w:val="30"/>
          <w:szCs w:val="30"/>
        </w:rPr>
        <w:t>根据单位实际情况制定合理的临聘人员管理制度。规划各下属单位的人员需求，合理有效地使用好现有人员，尽量减少临聘人员，尽力降低管理成本。制定合理的聘用条件和招聘程序，规范临聘人员的招聘手续，做到公平、公正、留痕等要求，并组织临聘人员进行岗前培训，培训内容包括单位职能、岗位职责、工作技能、劳动纪律、安全生产、权利义务以及思想政治、服务意识等。加强临聘人员日常管理，监督其认真履行岗位职责和义务，并对临聘人员的工作进行指导、考核等。</w:t>
      </w:r>
    </w:p>
    <w:p>
      <w:pPr>
        <w:pStyle w:val="4"/>
        <w:keepNext w:val="0"/>
        <w:keepLines w:val="0"/>
        <w:rPr>
          <w:rFonts w:ascii="仿宋" w:hAnsi="仿宋" w:eastAsia="仿宋" w:cs="仿宋"/>
          <w:b w:val="0"/>
          <w:bCs/>
          <w:sz w:val="30"/>
          <w:szCs w:val="30"/>
        </w:rPr>
      </w:pPr>
      <w:r>
        <w:rPr>
          <w:rFonts w:hint="eastAsia" w:ascii="仿宋" w:hAnsi="仿宋" w:eastAsia="仿宋" w:cs="仿宋"/>
          <w:sz w:val="30"/>
          <w:szCs w:val="30"/>
        </w:rPr>
        <w:t>二是</w:t>
      </w:r>
      <w:r>
        <w:rPr>
          <w:rFonts w:hint="eastAsia" w:ascii="仿宋" w:hAnsi="仿宋" w:eastAsia="仿宋" w:cs="仿宋"/>
          <w:b w:val="0"/>
          <w:bCs/>
          <w:sz w:val="30"/>
          <w:szCs w:val="30"/>
        </w:rPr>
        <w:t>应指定专人对人员档案进行归档管理，档案资料应包括自签订聘用合同起，在聘期内的聘用合同书、工资审批表、年度考核表、奖惩材料、学历证明、职称资格及其它需要归档的材料。且应加强对档案管理人员的技术能力培训，严格按照档案管理办法的相关标准，对项目资料进行整理、归集及统一专人保管，提高档案管理质量。</w:t>
      </w:r>
    </w:p>
    <w:p>
      <w:pPr>
        <w:spacing w:line="600" w:lineRule="exact"/>
        <w:ind w:firstLine="600" w:firstLineChars="200"/>
        <w:outlineLvl w:val="1"/>
        <w:rPr>
          <w:rFonts w:ascii="仿宋" w:hAnsi="仿宋" w:eastAsia="仿宋" w:cs="仿宋"/>
          <w:bCs/>
          <w:spacing w:val="-10"/>
          <w:szCs w:val="30"/>
        </w:rPr>
      </w:pPr>
      <w:bookmarkStart w:id="90" w:name="_Toc27390"/>
      <w:bookmarkStart w:id="91" w:name="_Toc3783"/>
      <w:r>
        <w:rPr>
          <w:rFonts w:hint="eastAsia" w:ascii="仿宋" w:hAnsi="仿宋" w:eastAsia="仿宋" w:cs="仿宋"/>
          <w:bCs/>
          <w:szCs w:val="30"/>
        </w:rPr>
        <w:t>三</w:t>
      </w:r>
      <w:r>
        <w:rPr>
          <w:rFonts w:hint="eastAsia" w:ascii="仿宋" w:hAnsi="仿宋" w:eastAsia="仿宋" w:cs="仿宋"/>
          <w:b/>
          <w:bCs/>
          <w:szCs w:val="30"/>
        </w:rPr>
        <w:t>是</w:t>
      </w:r>
      <w:r>
        <w:rPr>
          <w:rFonts w:hint="eastAsia" w:ascii="仿宋" w:hAnsi="仿宋" w:eastAsia="仿宋" w:cs="仿宋"/>
          <w:bCs/>
          <w:color w:val="000000"/>
          <w:szCs w:val="30"/>
        </w:rPr>
        <w:t>严格按照相关法律法规、规章制度及上级管理办法对各类采购事项执行相应的采购程序，提高材料、劳务等采购内容定价的准确性以及资金使用的有效性。</w:t>
      </w:r>
      <w:bookmarkEnd w:id="90"/>
      <w:bookmarkEnd w:id="91"/>
      <w:bookmarkStart w:id="92" w:name="_Toc6100"/>
    </w:p>
    <w:p>
      <w:pPr>
        <w:rPr>
          <w:rFonts w:ascii="仿宋" w:hAnsi="仿宋" w:eastAsia="仿宋" w:cs="仿宋"/>
          <w:bCs/>
          <w:spacing w:val="-10"/>
          <w:szCs w:val="30"/>
        </w:rPr>
      </w:pPr>
    </w:p>
    <w:p>
      <w:pPr>
        <w:rPr>
          <w:rFonts w:ascii="仿宋" w:hAnsi="仿宋" w:eastAsia="仿宋" w:cs="仿宋"/>
          <w:bCs/>
          <w:spacing w:val="-10"/>
          <w:szCs w:val="30"/>
        </w:rPr>
      </w:pPr>
      <w:r>
        <w:rPr>
          <w:rFonts w:hint="eastAsia" w:ascii="仿宋" w:hAnsi="仿宋" w:eastAsia="仿宋" w:cs="仿宋"/>
          <w:bCs/>
          <w:spacing w:val="-10"/>
          <w:szCs w:val="30"/>
        </w:rPr>
        <w:br w:type="page"/>
      </w:r>
    </w:p>
    <w:p>
      <w:pPr>
        <w:spacing w:beforeLines="50" w:afterLines="50" w:line="600" w:lineRule="exact"/>
        <w:ind w:firstLine="562" w:firstLineChars="200"/>
        <w:outlineLvl w:val="0"/>
        <w:rPr>
          <w:rFonts w:ascii="黑体" w:hAnsi="黑体" w:eastAsia="黑体" w:cs="黑体"/>
          <w:b/>
          <w:spacing w:val="-10"/>
          <w:szCs w:val="30"/>
        </w:rPr>
      </w:pPr>
      <w:r>
        <w:rPr>
          <w:rFonts w:hint="eastAsia" w:ascii="黑体" w:hAnsi="黑体" w:eastAsia="黑体" w:cs="黑体"/>
          <w:b/>
          <w:spacing w:val="-10"/>
          <w:szCs w:val="30"/>
        </w:rPr>
        <w:t>附件：</w:t>
      </w:r>
      <w:bookmarkEnd w:id="92"/>
    </w:p>
    <w:p>
      <w:pPr>
        <w:numPr>
          <w:ilvl w:val="255"/>
          <w:numId w:val="0"/>
        </w:numPr>
        <w:spacing w:line="600" w:lineRule="exact"/>
        <w:ind w:firstLine="600" w:firstLineChars="200"/>
        <w:outlineLvl w:val="1"/>
        <w:rPr>
          <w:rFonts w:ascii="仿宋" w:hAnsi="仿宋" w:eastAsia="仿宋" w:cs="仿宋"/>
          <w:bCs/>
          <w:color w:val="000000"/>
          <w:szCs w:val="30"/>
        </w:rPr>
      </w:pPr>
      <w:r>
        <w:rPr>
          <w:rFonts w:hint="eastAsia" w:ascii="仿宋" w:hAnsi="仿宋" w:eastAsia="仿宋" w:cs="仿宋"/>
          <w:bCs/>
          <w:color w:val="000000"/>
          <w:szCs w:val="30"/>
        </w:rPr>
        <w:t>1.巫溪县2019年城市环境卫生管理项目绩效评价指标体系及评分表</w:t>
      </w:r>
    </w:p>
    <w:p>
      <w:pPr>
        <w:spacing w:line="600" w:lineRule="exact"/>
        <w:ind w:firstLine="600" w:firstLineChars="200"/>
        <w:outlineLvl w:val="1"/>
        <w:rPr>
          <w:rFonts w:ascii="仿宋" w:hAnsi="仿宋" w:eastAsia="仿宋" w:cs="仿宋"/>
          <w:bCs/>
          <w:color w:val="000000"/>
          <w:szCs w:val="30"/>
        </w:rPr>
      </w:pPr>
      <w:r>
        <w:rPr>
          <w:rFonts w:hint="eastAsia" w:ascii="仿宋" w:hAnsi="仿宋" w:eastAsia="仿宋" w:cs="仿宋"/>
          <w:bCs/>
          <w:color w:val="000000"/>
          <w:szCs w:val="30"/>
        </w:rPr>
        <w:t>2.重庆通冠会计师事务所营业执照</w:t>
      </w:r>
    </w:p>
    <w:p>
      <w:pPr>
        <w:spacing w:line="600" w:lineRule="exact"/>
        <w:ind w:firstLine="600" w:firstLineChars="200"/>
        <w:outlineLvl w:val="1"/>
        <w:rPr>
          <w:rFonts w:ascii="仿宋" w:hAnsi="仿宋" w:eastAsia="仿宋" w:cs="仿宋"/>
          <w:bCs/>
          <w:color w:val="000000"/>
          <w:szCs w:val="30"/>
        </w:rPr>
      </w:pPr>
      <w:r>
        <w:rPr>
          <w:rFonts w:hint="eastAsia" w:ascii="仿宋" w:hAnsi="仿宋" w:eastAsia="仿宋" w:cs="仿宋"/>
          <w:bCs/>
          <w:color w:val="000000"/>
          <w:szCs w:val="30"/>
        </w:rPr>
        <w:t>3.重庆通冠会计师事务所执业证书</w:t>
      </w:r>
    </w:p>
    <w:p>
      <w:pPr>
        <w:spacing w:line="600" w:lineRule="exact"/>
        <w:rPr>
          <w:rFonts w:ascii="仿宋" w:hAnsi="仿宋" w:eastAsia="仿宋" w:cs="仿宋"/>
          <w:bCs/>
          <w:w w:val="90"/>
          <w:szCs w:val="30"/>
        </w:rPr>
      </w:pPr>
    </w:p>
    <w:p>
      <w:pPr>
        <w:spacing w:line="600" w:lineRule="exact"/>
        <w:rPr>
          <w:rFonts w:ascii="仿宋" w:hAnsi="仿宋" w:eastAsia="仿宋" w:cs="仿宋"/>
          <w:bCs/>
          <w:w w:val="90"/>
          <w:szCs w:val="30"/>
        </w:rPr>
      </w:pPr>
    </w:p>
    <w:tbl>
      <w:tblPr>
        <w:tblStyle w:val="14"/>
        <w:tblpPr w:leftFromText="180" w:rightFromText="180" w:vertAnchor="text" w:horzAnchor="page" w:tblpX="1656" w:tblpY="1489"/>
        <w:tblOverlap w:val="never"/>
        <w:tblW w:w="8820" w:type="dxa"/>
        <w:tblInd w:w="0" w:type="dxa"/>
        <w:tblLayout w:type="fixed"/>
        <w:tblCellMar>
          <w:top w:w="0" w:type="dxa"/>
          <w:left w:w="108" w:type="dxa"/>
          <w:bottom w:w="0" w:type="dxa"/>
          <w:right w:w="108" w:type="dxa"/>
        </w:tblCellMar>
      </w:tblPr>
      <w:tblGrid>
        <w:gridCol w:w="4534"/>
        <w:gridCol w:w="4286"/>
      </w:tblGrid>
      <w:tr>
        <w:tblPrEx>
          <w:tblCellMar>
            <w:top w:w="0" w:type="dxa"/>
            <w:left w:w="108" w:type="dxa"/>
            <w:bottom w:w="0" w:type="dxa"/>
            <w:right w:w="108" w:type="dxa"/>
          </w:tblCellMar>
        </w:tblPrEx>
        <w:trPr>
          <w:trHeight w:val="1180" w:hRule="atLeast"/>
        </w:trPr>
        <w:tc>
          <w:tcPr>
            <w:tcW w:w="4534" w:type="dxa"/>
            <w:noWrap/>
          </w:tcPr>
          <w:p>
            <w:pPr>
              <w:spacing w:line="360" w:lineRule="atLeast"/>
              <w:jc w:val="center"/>
              <w:rPr>
                <w:rFonts w:ascii="仿宋" w:hAnsi="仿宋" w:eastAsia="仿宋" w:cs="仿宋"/>
                <w:szCs w:val="30"/>
              </w:rPr>
            </w:pPr>
            <w:r>
              <w:rPr>
                <w:rFonts w:hint="eastAsia" w:ascii="仿宋" w:hAnsi="仿宋" w:eastAsia="仿宋" w:cs="仿宋"/>
                <w:szCs w:val="30"/>
              </w:rPr>
              <w:t>重庆通冠会计师事务所有限责任公司</w:t>
            </w:r>
          </w:p>
        </w:tc>
        <w:tc>
          <w:tcPr>
            <w:tcW w:w="4286" w:type="dxa"/>
            <w:noWrap/>
          </w:tcPr>
          <w:p>
            <w:pPr>
              <w:spacing w:line="360" w:lineRule="atLeast"/>
              <w:rPr>
                <w:rFonts w:ascii="仿宋" w:hAnsi="仿宋" w:eastAsia="仿宋" w:cs="仿宋"/>
                <w:szCs w:val="30"/>
              </w:rPr>
            </w:pPr>
            <w:r>
              <w:rPr>
                <w:rFonts w:hint="eastAsia" w:ascii="仿宋" w:hAnsi="仿宋" w:eastAsia="仿宋" w:cs="仿宋"/>
                <w:szCs w:val="30"/>
              </w:rPr>
              <w:t xml:space="preserve">   中国注册造价工程师：</w:t>
            </w:r>
          </w:p>
        </w:tc>
      </w:tr>
      <w:tr>
        <w:tblPrEx>
          <w:tblCellMar>
            <w:top w:w="0" w:type="dxa"/>
            <w:left w:w="108" w:type="dxa"/>
            <w:bottom w:w="0" w:type="dxa"/>
            <w:right w:w="108" w:type="dxa"/>
          </w:tblCellMar>
        </w:tblPrEx>
        <w:trPr>
          <w:trHeight w:val="1110" w:hRule="atLeast"/>
        </w:trPr>
        <w:tc>
          <w:tcPr>
            <w:tcW w:w="4534" w:type="dxa"/>
            <w:noWrap/>
          </w:tcPr>
          <w:p>
            <w:pPr>
              <w:spacing w:line="360" w:lineRule="atLeast"/>
              <w:jc w:val="center"/>
              <w:rPr>
                <w:rFonts w:ascii="仿宋" w:hAnsi="仿宋" w:eastAsia="仿宋" w:cs="仿宋"/>
                <w:szCs w:val="30"/>
              </w:rPr>
            </w:pPr>
            <w:r>
              <w:rPr>
                <w:rFonts w:hint="eastAsia" w:ascii="仿宋" w:hAnsi="仿宋" w:eastAsia="仿宋" w:cs="仿宋"/>
                <w:szCs w:val="30"/>
              </w:rPr>
              <w:t>中国·重庆市</w:t>
            </w:r>
          </w:p>
        </w:tc>
        <w:tc>
          <w:tcPr>
            <w:tcW w:w="4286" w:type="dxa"/>
            <w:noWrap/>
          </w:tcPr>
          <w:p>
            <w:pPr>
              <w:spacing w:line="360" w:lineRule="atLeast"/>
              <w:rPr>
                <w:rFonts w:ascii="仿宋" w:hAnsi="仿宋" w:eastAsia="仿宋" w:cs="仿宋"/>
                <w:szCs w:val="30"/>
              </w:rPr>
            </w:pPr>
            <w:r>
              <w:rPr>
                <w:rFonts w:hint="eastAsia" w:ascii="仿宋" w:hAnsi="仿宋" w:eastAsia="仿宋" w:cs="仿宋"/>
                <w:szCs w:val="30"/>
              </w:rPr>
              <w:t xml:space="preserve">   中国注册会计师：</w:t>
            </w:r>
          </w:p>
        </w:tc>
      </w:tr>
      <w:tr>
        <w:tblPrEx>
          <w:tblCellMar>
            <w:top w:w="0" w:type="dxa"/>
            <w:left w:w="108" w:type="dxa"/>
            <w:bottom w:w="0" w:type="dxa"/>
            <w:right w:w="108" w:type="dxa"/>
          </w:tblCellMar>
        </w:tblPrEx>
        <w:trPr>
          <w:trHeight w:val="602" w:hRule="atLeast"/>
        </w:trPr>
        <w:tc>
          <w:tcPr>
            <w:tcW w:w="4534" w:type="dxa"/>
            <w:noWrap/>
          </w:tcPr>
          <w:p>
            <w:pPr>
              <w:spacing w:line="360" w:lineRule="atLeast"/>
              <w:jc w:val="center"/>
              <w:rPr>
                <w:rFonts w:ascii="仿宋" w:hAnsi="仿宋" w:eastAsia="仿宋" w:cs="仿宋"/>
                <w:szCs w:val="30"/>
              </w:rPr>
            </w:pPr>
          </w:p>
        </w:tc>
        <w:tc>
          <w:tcPr>
            <w:tcW w:w="4286" w:type="dxa"/>
            <w:noWrap/>
          </w:tcPr>
          <w:p>
            <w:pPr>
              <w:spacing w:line="360" w:lineRule="atLeast"/>
              <w:ind w:firstLine="450" w:firstLineChars="150"/>
              <w:rPr>
                <w:rFonts w:ascii="仿宋" w:hAnsi="仿宋" w:eastAsia="仿宋" w:cs="仿宋"/>
                <w:szCs w:val="30"/>
              </w:rPr>
            </w:pPr>
            <w:r>
              <w:rPr>
                <w:rFonts w:hint="eastAsia" w:ascii="仿宋" w:hAnsi="仿宋" w:eastAsia="仿宋" w:cs="仿宋"/>
                <w:szCs w:val="30"/>
              </w:rPr>
              <w:t>二Ｏ二Ｏ年十</w:t>
            </w:r>
            <w:r>
              <w:rPr>
                <w:rFonts w:hint="eastAsia" w:ascii="仿宋" w:hAnsi="仿宋" w:eastAsia="仿宋" w:cs="仿宋"/>
                <w:szCs w:val="30"/>
                <w:lang w:val="en-US" w:eastAsia="zh-CN"/>
              </w:rPr>
              <w:t>二</w:t>
            </w:r>
            <w:r>
              <w:rPr>
                <w:rFonts w:hint="eastAsia" w:ascii="仿宋" w:hAnsi="仿宋" w:eastAsia="仿宋" w:cs="仿宋"/>
                <w:szCs w:val="30"/>
              </w:rPr>
              <w:t>月</w:t>
            </w:r>
            <w:r>
              <w:rPr>
                <w:rFonts w:hint="eastAsia" w:ascii="仿宋" w:hAnsi="仿宋" w:eastAsia="仿宋" w:cs="仿宋"/>
                <w:szCs w:val="30"/>
                <w:lang w:val="en-US" w:eastAsia="zh-CN"/>
              </w:rPr>
              <w:t>三十</w:t>
            </w:r>
            <w:r>
              <w:rPr>
                <w:rFonts w:hint="eastAsia" w:ascii="仿宋" w:hAnsi="仿宋" w:eastAsia="仿宋" w:cs="仿宋"/>
                <w:szCs w:val="30"/>
              </w:rPr>
              <w:t>日</w:t>
            </w:r>
          </w:p>
        </w:tc>
      </w:tr>
    </w:tbl>
    <w:p>
      <w:pPr>
        <w:spacing w:line="600" w:lineRule="exact"/>
        <w:jc w:val="left"/>
        <w:textAlignment w:val="baseline"/>
        <w:rPr>
          <w:rFonts w:ascii="仿宋" w:hAnsi="仿宋" w:eastAsia="仿宋"/>
          <w:szCs w:val="30"/>
        </w:rPr>
      </w:pPr>
    </w:p>
    <w:sectPr>
      <w:footerReference r:id="rId12" w:type="first"/>
      <w:footerReference r:id="rId11" w:type="default"/>
      <w:footnotePr>
        <w:numFmt w:val="decimalEnclosedCircleChinese"/>
      </w:footnotePr>
      <w:pgSz w:w="11906" w:h="16838"/>
      <w:pgMar w:top="1418" w:right="1418" w:bottom="1417" w:left="1418" w:header="1021" w:footer="1021"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1739FB-E887-4629-8131-97A9AF43F32E}"/>
  </w:font>
  <w:font w:name="黑体">
    <w:panose1 w:val="02010609060101010101"/>
    <w:charset w:val="86"/>
    <w:family w:val="auto"/>
    <w:pitch w:val="default"/>
    <w:sig w:usb0="800002BF" w:usb1="38CF7CFA" w:usb2="00000016" w:usb3="00000000" w:csb0="00040001" w:csb1="00000000"/>
    <w:embedRegular r:id="rId2" w:fontKey="{9988A7D3-F143-49E8-BCBB-9C4C966F5C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0424A2F2-3AAD-40FC-A6B1-D0E3C4CF8CD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4ABCCEC-0227-435B-8C62-1F53038A05D7}"/>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647"/>
        <w:tab w:val="clear" w:pos="8306"/>
      </w:tabs>
      <w:ind w:firstLine="210" w:firstLineChars="100"/>
    </w:pPr>
    <w:r>
      <w:pict>
        <v:line id="_x0000_s1030" o:spid="_x0000_s1030" o:spt="20" style="position:absolute;left:0pt;margin-left:-0.75pt;margin-top:-4.95pt;height:0pt;width:442.5pt;z-index:251659264;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PYyXjzzAQAA3wMAAA4AAAAAAAAAAQAgAAAAIwEAAGRycy9lMm9Eb2MueG1sUEsFBgAA&#10;AAAGAAYAWQEAAIgFAAAAAA==&#10;">
          <v:path arrowok="t"/>
          <v:fill focussize="0,0"/>
          <v:stroke weight="4.5pt" color="#47A3FF" linestyle="thickThin"/>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8"/>
      </w:rPr>
    </w:pPr>
    <w:r>
      <w:fldChar w:fldCharType="begin"/>
    </w:r>
    <w:r>
      <w:rPr>
        <w:rStyle w:val="18"/>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647"/>
        <w:tab w:val="clear" w:pos="8306"/>
      </w:tabs>
      <w:ind w:firstLine="210" w:firstLineChars="100"/>
    </w:pPr>
    <w:r>
      <w:pict>
        <v:line id="_x0000_s1029" o:spid="_x0000_s1029" o:spt="20" style="position:absolute;left:0pt;margin-left:-0.75pt;margin-top:-4.95pt;height:0pt;width:442.5pt;z-index:251660288;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Dlz38XzAQAA3wMAAA4AAAAAAAAAAQAgAAAAIwEAAGRycy9lMm9Eb2MueG1sUEsFBgAA&#10;AAAGAAYAWQEAAIgFAAAAAA==&#10;">
          <v:path arrowok="t"/>
          <v:fill focussize="0,0"/>
          <v:stroke weight="4.5pt" color="#47A3FF" linestyle="thickThin"/>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647"/>
        <w:tab w:val="clear" w:pos="8306"/>
      </w:tabs>
      <w:ind w:firstLine="210" w:firstLineChars="100"/>
      <w:jc w:val="center"/>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8"/>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20 页</w:t>
                </w:r>
              </w:p>
            </w:txbxContent>
          </v:textbox>
        </v:shape>
      </w:pict>
    </w:r>
    <w:r>
      <w:pict>
        <v:line id="_x0000_s1027" o:spid="_x0000_s1027" o:spt="20" style="position:absolute;left:0pt;margin-left:-0.75pt;margin-top:-4.95pt;height:0pt;width:442.5pt;z-index:251661312;mso-width-relative:page;mso-height-relative:page;" stroked="t" coordsize="21600,21600" o:gfxdata="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RtXXYAAAACAEAAA8AAAAAAAAAAQAgAAAAIgAAAGRycy9k&#10;b3ducmV2LnhtbFBLAQIUABQAAAAIAIdO4kCsXwdoAgIAAAEEAAAOAAAAAAAAAAEAIAAAACcBAABk&#10;cnMvZTJvRG9jLnhtbFBLBQYAAAAABgAGAFkBAACbBQAAAAA=&#10;">
          <v:path arrowok="t"/>
          <v:fill focussize="0,0"/>
          <v:stroke weight="4.5pt" color="#7F7F7F" linestyle="thickThin"/>
          <v:imagedata o:title=""/>
          <o:lock v:ext="edit"/>
        </v:lin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仿宋"/>
      </w:rPr>
    </w:pPr>
    <w:r>
      <w:pict>
        <v:line id="_x0000_s1026" o:spid="_x0000_s1026" o:spt="20" style="position:absolute;left:0pt;margin-left:-2.25pt;margin-top:14.85pt;height:0pt;width:442.5pt;z-index:251661312;mso-width-relative:page;mso-height-relative:page;" coordsize="21600,21600" o:gfxdata="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2Y&#10;86DWAAAACAEAAA8AAAAAAAAAAQAgAAAAIgAAAGRycy9kb3ducmV2LnhtbFBLAQIUABQAAAAIAIdO&#10;4kDGY1kL7AEAANgDAAAOAAAAAAAAAAEAIAAAACUBAABkcnMvZTJvRG9jLnhtbFBLBQYAAAAABgAG&#10;AFkBAACDBQAAAAA=&#10;">
          <v:path arrowok="t"/>
          <v:fill focussize="0,0"/>
          <v:stroke/>
          <v:imagedata o:title=""/>
          <o:lock v:ext="edit"/>
        </v:line>
      </w:pict>
    </w:r>
    <w:r>
      <w:rPr>
        <w:rFonts w:hint="eastAsia" w:ascii="仿宋" w:hAnsi="仿宋" w:eastAsia="仿宋"/>
        <w:sz w:val="20"/>
        <w:szCs w:val="16"/>
      </w:rPr>
      <w:t>巫溪县2019年城市环境卫生管理项目绩效评价报告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E496F"/>
    <w:multiLevelType w:val="singleLevel"/>
    <w:tmpl w:val="602E4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FE68E4"/>
    <w:rsid w:val="00030077"/>
    <w:rsid w:val="00033848"/>
    <w:rsid w:val="000352B5"/>
    <w:rsid w:val="00036B06"/>
    <w:rsid w:val="0006646C"/>
    <w:rsid w:val="000C79F1"/>
    <w:rsid w:val="000E4134"/>
    <w:rsid w:val="000F5C1B"/>
    <w:rsid w:val="000F659F"/>
    <w:rsid w:val="001233E4"/>
    <w:rsid w:val="0015471A"/>
    <w:rsid w:val="00161F1E"/>
    <w:rsid w:val="001979AA"/>
    <w:rsid w:val="001A1225"/>
    <w:rsid w:val="001A53B4"/>
    <w:rsid w:val="001D5473"/>
    <w:rsid w:val="001D609D"/>
    <w:rsid w:val="001E0337"/>
    <w:rsid w:val="001E1C2D"/>
    <w:rsid w:val="001E3BC0"/>
    <w:rsid w:val="001F5ED2"/>
    <w:rsid w:val="00207584"/>
    <w:rsid w:val="0029107F"/>
    <w:rsid w:val="0029633E"/>
    <w:rsid w:val="0029697C"/>
    <w:rsid w:val="002B01AA"/>
    <w:rsid w:val="002B4F4D"/>
    <w:rsid w:val="002C2289"/>
    <w:rsid w:val="002D5FC0"/>
    <w:rsid w:val="002D6FA5"/>
    <w:rsid w:val="003066E7"/>
    <w:rsid w:val="003227BF"/>
    <w:rsid w:val="0032533B"/>
    <w:rsid w:val="00325B1B"/>
    <w:rsid w:val="003269ED"/>
    <w:rsid w:val="00334CB2"/>
    <w:rsid w:val="00336D42"/>
    <w:rsid w:val="00371C3B"/>
    <w:rsid w:val="003937A9"/>
    <w:rsid w:val="003B248B"/>
    <w:rsid w:val="003C1949"/>
    <w:rsid w:val="003C39A3"/>
    <w:rsid w:val="003E37D1"/>
    <w:rsid w:val="003E6AD1"/>
    <w:rsid w:val="003E77B6"/>
    <w:rsid w:val="003F1413"/>
    <w:rsid w:val="003F1C77"/>
    <w:rsid w:val="0040501E"/>
    <w:rsid w:val="0041052C"/>
    <w:rsid w:val="0041202F"/>
    <w:rsid w:val="004153C2"/>
    <w:rsid w:val="00422A66"/>
    <w:rsid w:val="0047241F"/>
    <w:rsid w:val="00484467"/>
    <w:rsid w:val="004A4BEC"/>
    <w:rsid w:val="004B12BE"/>
    <w:rsid w:val="004B254B"/>
    <w:rsid w:val="004D05C5"/>
    <w:rsid w:val="004E4AF9"/>
    <w:rsid w:val="004E771F"/>
    <w:rsid w:val="005245BF"/>
    <w:rsid w:val="00532BC1"/>
    <w:rsid w:val="0053720A"/>
    <w:rsid w:val="00541308"/>
    <w:rsid w:val="0056544A"/>
    <w:rsid w:val="005750B6"/>
    <w:rsid w:val="00577F66"/>
    <w:rsid w:val="00590FE8"/>
    <w:rsid w:val="00593CB3"/>
    <w:rsid w:val="005C15F2"/>
    <w:rsid w:val="005C4410"/>
    <w:rsid w:val="005F6A9E"/>
    <w:rsid w:val="006016BE"/>
    <w:rsid w:val="0061021C"/>
    <w:rsid w:val="00610E3A"/>
    <w:rsid w:val="0062676F"/>
    <w:rsid w:val="00646189"/>
    <w:rsid w:val="006714F2"/>
    <w:rsid w:val="00672802"/>
    <w:rsid w:val="00681F2C"/>
    <w:rsid w:val="0068447B"/>
    <w:rsid w:val="00685BCD"/>
    <w:rsid w:val="006A22AE"/>
    <w:rsid w:val="006A7CF8"/>
    <w:rsid w:val="006B794A"/>
    <w:rsid w:val="006C6F1F"/>
    <w:rsid w:val="006E06FB"/>
    <w:rsid w:val="006E7C9C"/>
    <w:rsid w:val="006F2864"/>
    <w:rsid w:val="0070394E"/>
    <w:rsid w:val="00711D01"/>
    <w:rsid w:val="007203E8"/>
    <w:rsid w:val="00733CFE"/>
    <w:rsid w:val="0076301A"/>
    <w:rsid w:val="007732B2"/>
    <w:rsid w:val="007B5660"/>
    <w:rsid w:val="007C0672"/>
    <w:rsid w:val="007C0781"/>
    <w:rsid w:val="007D4409"/>
    <w:rsid w:val="007D7BA1"/>
    <w:rsid w:val="007F335C"/>
    <w:rsid w:val="007F529D"/>
    <w:rsid w:val="007F5407"/>
    <w:rsid w:val="008100C2"/>
    <w:rsid w:val="0081334B"/>
    <w:rsid w:val="00825192"/>
    <w:rsid w:val="0083073D"/>
    <w:rsid w:val="00836A86"/>
    <w:rsid w:val="00840099"/>
    <w:rsid w:val="00842585"/>
    <w:rsid w:val="00850ABB"/>
    <w:rsid w:val="0086378A"/>
    <w:rsid w:val="0086535E"/>
    <w:rsid w:val="00867D0E"/>
    <w:rsid w:val="00877DAD"/>
    <w:rsid w:val="008C3E4E"/>
    <w:rsid w:val="008E2CFD"/>
    <w:rsid w:val="008F45A6"/>
    <w:rsid w:val="0092461A"/>
    <w:rsid w:val="00935369"/>
    <w:rsid w:val="00941A4A"/>
    <w:rsid w:val="00945D99"/>
    <w:rsid w:val="009474F7"/>
    <w:rsid w:val="00983474"/>
    <w:rsid w:val="009A7CB2"/>
    <w:rsid w:val="009B468C"/>
    <w:rsid w:val="009B562E"/>
    <w:rsid w:val="009C4A71"/>
    <w:rsid w:val="009C51D6"/>
    <w:rsid w:val="009F005D"/>
    <w:rsid w:val="00A30CC7"/>
    <w:rsid w:val="00A42D22"/>
    <w:rsid w:val="00A463D1"/>
    <w:rsid w:val="00A504D7"/>
    <w:rsid w:val="00A83319"/>
    <w:rsid w:val="00AA56C9"/>
    <w:rsid w:val="00AB6393"/>
    <w:rsid w:val="00AE1ECF"/>
    <w:rsid w:val="00AE25CA"/>
    <w:rsid w:val="00B003ED"/>
    <w:rsid w:val="00B240D9"/>
    <w:rsid w:val="00B275C6"/>
    <w:rsid w:val="00B43B2C"/>
    <w:rsid w:val="00B473B1"/>
    <w:rsid w:val="00B665B1"/>
    <w:rsid w:val="00B862A9"/>
    <w:rsid w:val="00BA6E24"/>
    <w:rsid w:val="00BB0A53"/>
    <w:rsid w:val="00BD237E"/>
    <w:rsid w:val="00BE4A29"/>
    <w:rsid w:val="00C01128"/>
    <w:rsid w:val="00C06A1C"/>
    <w:rsid w:val="00C279EF"/>
    <w:rsid w:val="00C33757"/>
    <w:rsid w:val="00C348AC"/>
    <w:rsid w:val="00C3496F"/>
    <w:rsid w:val="00C40F9D"/>
    <w:rsid w:val="00C415D4"/>
    <w:rsid w:val="00C5080A"/>
    <w:rsid w:val="00C557DD"/>
    <w:rsid w:val="00C616E5"/>
    <w:rsid w:val="00C70893"/>
    <w:rsid w:val="00CA2D4C"/>
    <w:rsid w:val="00CA6299"/>
    <w:rsid w:val="00CD5027"/>
    <w:rsid w:val="00CD59B6"/>
    <w:rsid w:val="00CE03CB"/>
    <w:rsid w:val="00CE062A"/>
    <w:rsid w:val="00CE16E7"/>
    <w:rsid w:val="00D00A65"/>
    <w:rsid w:val="00D0371F"/>
    <w:rsid w:val="00D30AAC"/>
    <w:rsid w:val="00D35EA5"/>
    <w:rsid w:val="00D4369D"/>
    <w:rsid w:val="00D54C68"/>
    <w:rsid w:val="00D60090"/>
    <w:rsid w:val="00D66CF8"/>
    <w:rsid w:val="00D75364"/>
    <w:rsid w:val="00DB4E69"/>
    <w:rsid w:val="00DE40D0"/>
    <w:rsid w:val="00DF0132"/>
    <w:rsid w:val="00DF5764"/>
    <w:rsid w:val="00E02445"/>
    <w:rsid w:val="00E041E3"/>
    <w:rsid w:val="00E13CD1"/>
    <w:rsid w:val="00E408BF"/>
    <w:rsid w:val="00E501D8"/>
    <w:rsid w:val="00E57FD1"/>
    <w:rsid w:val="00E66A17"/>
    <w:rsid w:val="00E67BED"/>
    <w:rsid w:val="00E70E48"/>
    <w:rsid w:val="00E9478F"/>
    <w:rsid w:val="00EA4C52"/>
    <w:rsid w:val="00EC0D4A"/>
    <w:rsid w:val="00EE3EC7"/>
    <w:rsid w:val="00EF0A2E"/>
    <w:rsid w:val="00EF3EE1"/>
    <w:rsid w:val="00EF4D0B"/>
    <w:rsid w:val="00F10F79"/>
    <w:rsid w:val="00F15BFA"/>
    <w:rsid w:val="00F1747A"/>
    <w:rsid w:val="00F4568C"/>
    <w:rsid w:val="00F55ABC"/>
    <w:rsid w:val="00F56C0B"/>
    <w:rsid w:val="00F64390"/>
    <w:rsid w:val="00F7179D"/>
    <w:rsid w:val="00F74909"/>
    <w:rsid w:val="00F761EA"/>
    <w:rsid w:val="00F82568"/>
    <w:rsid w:val="00F948E8"/>
    <w:rsid w:val="00FE12ED"/>
    <w:rsid w:val="00FE1636"/>
    <w:rsid w:val="00FF50E6"/>
    <w:rsid w:val="015220C8"/>
    <w:rsid w:val="01E536DC"/>
    <w:rsid w:val="02A80856"/>
    <w:rsid w:val="02A93256"/>
    <w:rsid w:val="02C531E1"/>
    <w:rsid w:val="034D6945"/>
    <w:rsid w:val="035334D7"/>
    <w:rsid w:val="03900550"/>
    <w:rsid w:val="03B033ED"/>
    <w:rsid w:val="03B2540F"/>
    <w:rsid w:val="04D93E97"/>
    <w:rsid w:val="04FC3E9E"/>
    <w:rsid w:val="05467E96"/>
    <w:rsid w:val="0616129F"/>
    <w:rsid w:val="061D1C14"/>
    <w:rsid w:val="06A4751A"/>
    <w:rsid w:val="07232BA4"/>
    <w:rsid w:val="075F0B42"/>
    <w:rsid w:val="07EC30F2"/>
    <w:rsid w:val="09722BB4"/>
    <w:rsid w:val="09C452C1"/>
    <w:rsid w:val="09E74E5D"/>
    <w:rsid w:val="0A10205F"/>
    <w:rsid w:val="0B9F0865"/>
    <w:rsid w:val="0C48273B"/>
    <w:rsid w:val="0CD1684E"/>
    <w:rsid w:val="0D6248A5"/>
    <w:rsid w:val="0DB45A71"/>
    <w:rsid w:val="0E007B35"/>
    <w:rsid w:val="0E2B4AD2"/>
    <w:rsid w:val="0E584BAC"/>
    <w:rsid w:val="0E657C27"/>
    <w:rsid w:val="0E6F5AE4"/>
    <w:rsid w:val="0F295122"/>
    <w:rsid w:val="0F737926"/>
    <w:rsid w:val="0FC4342F"/>
    <w:rsid w:val="0FD842B9"/>
    <w:rsid w:val="109727D5"/>
    <w:rsid w:val="110A1A2C"/>
    <w:rsid w:val="112C1C59"/>
    <w:rsid w:val="115757A1"/>
    <w:rsid w:val="12A51367"/>
    <w:rsid w:val="134A2A5C"/>
    <w:rsid w:val="14237276"/>
    <w:rsid w:val="14D62682"/>
    <w:rsid w:val="150A4EC2"/>
    <w:rsid w:val="16251F17"/>
    <w:rsid w:val="165A55F1"/>
    <w:rsid w:val="16BB27C5"/>
    <w:rsid w:val="17C1593A"/>
    <w:rsid w:val="17EE274F"/>
    <w:rsid w:val="18B0796E"/>
    <w:rsid w:val="198D7398"/>
    <w:rsid w:val="19A170AD"/>
    <w:rsid w:val="1A3E70FE"/>
    <w:rsid w:val="1B4712F0"/>
    <w:rsid w:val="1B4F0EED"/>
    <w:rsid w:val="1C7C2462"/>
    <w:rsid w:val="1C927227"/>
    <w:rsid w:val="1CE81546"/>
    <w:rsid w:val="1E200C65"/>
    <w:rsid w:val="1E2D3F6E"/>
    <w:rsid w:val="1EB70F04"/>
    <w:rsid w:val="1EE14947"/>
    <w:rsid w:val="1EFE0DB5"/>
    <w:rsid w:val="1F1E1208"/>
    <w:rsid w:val="1F870B43"/>
    <w:rsid w:val="2048414C"/>
    <w:rsid w:val="20693014"/>
    <w:rsid w:val="207529FA"/>
    <w:rsid w:val="20990555"/>
    <w:rsid w:val="20E90A81"/>
    <w:rsid w:val="210B16AF"/>
    <w:rsid w:val="21123213"/>
    <w:rsid w:val="21903A95"/>
    <w:rsid w:val="21962081"/>
    <w:rsid w:val="223C1851"/>
    <w:rsid w:val="22674EC3"/>
    <w:rsid w:val="227304A1"/>
    <w:rsid w:val="22E17285"/>
    <w:rsid w:val="22EE6201"/>
    <w:rsid w:val="240000FA"/>
    <w:rsid w:val="248357EF"/>
    <w:rsid w:val="248E4BF2"/>
    <w:rsid w:val="24A82FFA"/>
    <w:rsid w:val="25FB1FBE"/>
    <w:rsid w:val="266D5C1E"/>
    <w:rsid w:val="26F90FF6"/>
    <w:rsid w:val="2751284A"/>
    <w:rsid w:val="27F16C9A"/>
    <w:rsid w:val="28076C65"/>
    <w:rsid w:val="285E2A37"/>
    <w:rsid w:val="28C15955"/>
    <w:rsid w:val="297B3001"/>
    <w:rsid w:val="2A1E6E5A"/>
    <w:rsid w:val="2C72135C"/>
    <w:rsid w:val="2CB16B90"/>
    <w:rsid w:val="2E2817FD"/>
    <w:rsid w:val="2F95664D"/>
    <w:rsid w:val="3093636F"/>
    <w:rsid w:val="30EE0E0E"/>
    <w:rsid w:val="3142144D"/>
    <w:rsid w:val="31613022"/>
    <w:rsid w:val="33013FB0"/>
    <w:rsid w:val="3306332A"/>
    <w:rsid w:val="33936282"/>
    <w:rsid w:val="346918E0"/>
    <w:rsid w:val="34F03604"/>
    <w:rsid w:val="360E7EFA"/>
    <w:rsid w:val="368A5A41"/>
    <w:rsid w:val="36B444A1"/>
    <w:rsid w:val="36CB32B0"/>
    <w:rsid w:val="36D859B4"/>
    <w:rsid w:val="371729E2"/>
    <w:rsid w:val="37176F42"/>
    <w:rsid w:val="37FA402A"/>
    <w:rsid w:val="38BD4DB8"/>
    <w:rsid w:val="38CF1BB2"/>
    <w:rsid w:val="39354792"/>
    <w:rsid w:val="393F01E1"/>
    <w:rsid w:val="39E66C6B"/>
    <w:rsid w:val="3C5F6351"/>
    <w:rsid w:val="3C6F7FB2"/>
    <w:rsid w:val="3CB77D58"/>
    <w:rsid w:val="3D1B7B3A"/>
    <w:rsid w:val="3E4D51EC"/>
    <w:rsid w:val="3ED10BFB"/>
    <w:rsid w:val="3F00090F"/>
    <w:rsid w:val="3F56434B"/>
    <w:rsid w:val="3F5F1C04"/>
    <w:rsid w:val="405A367A"/>
    <w:rsid w:val="40BB463F"/>
    <w:rsid w:val="40CB0E98"/>
    <w:rsid w:val="40E35641"/>
    <w:rsid w:val="418775C6"/>
    <w:rsid w:val="41BC486F"/>
    <w:rsid w:val="42567174"/>
    <w:rsid w:val="42A23DF6"/>
    <w:rsid w:val="42B11D42"/>
    <w:rsid w:val="4307413F"/>
    <w:rsid w:val="43A43479"/>
    <w:rsid w:val="43AD3EFC"/>
    <w:rsid w:val="43EB4FC4"/>
    <w:rsid w:val="446552B3"/>
    <w:rsid w:val="44944A50"/>
    <w:rsid w:val="44B05997"/>
    <w:rsid w:val="44C0472F"/>
    <w:rsid w:val="45413CAD"/>
    <w:rsid w:val="471223B1"/>
    <w:rsid w:val="47CC1BA9"/>
    <w:rsid w:val="47EA583B"/>
    <w:rsid w:val="4807343A"/>
    <w:rsid w:val="48FA71E8"/>
    <w:rsid w:val="492C3F5F"/>
    <w:rsid w:val="494D1FF4"/>
    <w:rsid w:val="49870971"/>
    <w:rsid w:val="49A54583"/>
    <w:rsid w:val="49AD3B71"/>
    <w:rsid w:val="49F816F1"/>
    <w:rsid w:val="4B6154A8"/>
    <w:rsid w:val="4B78414C"/>
    <w:rsid w:val="4BC73A81"/>
    <w:rsid w:val="4C8233F2"/>
    <w:rsid w:val="4CC623EF"/>
    <w:rsid w:val="4D772623"/>
    <w:rsid w:val="4DE9560A"/>
    <w:rsid w:val="4F7B3D3C"/>
    <w:rsid w:val="4FE405F5"/>
    <w:rsid w:val="500C5507"/>
    <w:rsid w:val="5016687E"/>
    <w:rsid w:val="50502C09"/>
    <w:rsid w:val="52D60BAB"/>
    <w:rsid w:val="53161063"/>
    <w:rsid w:val="5375681B"/>
    <w:rsid w:val="53D3496B"/>
    <w:rsid w:val="5432539B"/>
    <w:rsid w:val="55676C49"/>
    <w:rsid w:val="55E360ED"/>
    <w:rsid w:val="55F74942"/>
    <w:rsid w:val="56134254"/>
    <w:rsid w:val="56880745"/>
    <w:rsid w:val="56B8362D"/>
    <w:rsid w:val="572C1DF7"/>
    <w:rsid w:val="57625434"/>
    <w:rsid w:val="57E3219C"/>
    <w:rsid w:val="584D2590"/>
    <w:rsid w:val="59174912"/>
    <w:rsid w:val="5C506124"/>
    <w:rsid w:val="5C896BC2"/>
    <w:rsid w:val="5CB52EB5"/>
    <w:rsid w:val="5D111B23"/>
    <w:rsid w:val="5D2B2316"/>
    <w:rsid w:val="5D73593C"/>
    <w:rsid w:val="5DD92140"/>
    <w:rsid w:val="5E4F08BD"/>
    <w:rsid w:val="5ECA2AC1"/>
    <w:rsid w:val="5EF323D3"/>
    <w:rsid w:val="5F1C0080"/>
    <w:rsid w:val="605F55A7"/>
    <w:rsid w:val="60E9687D"/>
    <w:rsid w:val="618C24E9"/>
    <w:rsid w:val="619B6567"/>
    <w:rsid w:val="62CE2718"/>
    <w:rsid w:val="641F00BE"/>
    <w:rsid w:val="648064FC"/>
    <w:rsid w:val="64F46F91"/>
    <w:rsid w:val="65052337"/>
    <w:rsid w:val="65AB1722"/>
    <w:rsid w:val="65C175B5"/>
    <w:rsid w:val="65EB14CB"/>
    <w:rsid w:val="661900C5"/>
    <w:rsid w:val="665D49B4"/>
    <w:rsid w:val="66BD57E4"/>
    <w:rsid w:val="6729731E"/>
    <w:rsid w:val="6743782B"/>
    <w:rsid w:val="67B32441"/>
    <w:rsid w:val="67B52289"/>
    <w:rsid w:val="68593E09"/>
    <w:rsid w:val="685B2579"/>
    <w:rsid w:val="695E4E50"/>
    <w:rsid w:val="69734599"/>
    <w:rsid w:val="698B3E93"/>
    <w:rsid w:val="6AD0211F"/>
    <w:rsid w:val="6B8E6205"/>
    <w:rsid w:val="6C182026"/>
    <w:rsid w:val="6C736958"/>
    <w:rsid w:val="6CDA21D8"/>
    <w:rsid w:val="6D022874"/>
    <w:rsid w:val="6E636B69"/>
    <w:rsid w:val="6F681FED"/>
    <w:rsid w:val="6F7275D3"/>
    <w:rsid w:val="700149B1"/>
    <w:rsid w:val="70104C91"/>
    <w:rsid w:val="70150519"/>
    <w:rsid w:val="702E6C98"/>
    <w:rsid w:val="70D71037"/>
    <w:rsid w:val="71083CF5"/>
    <w:rsid w:val="721F60DF"/>
    <w:rsid w:val="72793C31"/>
    <w:rsid w:val="72CD100F"/>
    <w:rsid w:val="73761FE1"/>
    <w:rsid w:val="73EE3721"/>
    <w:rsid w:val="741C7BCF"/>
    <w:rsid w:val="754A5389"/>
    <w:rsid w:val="76192A6F"/>
    <w:rsid w:val="761B1A99"/>
    <w:rsid w:val="764959BB"/>
    <w:rsid w:val="772B273C"/>
    <w:rsid w:val="77374B14"/>
    <w:rsid w:val="778C6A44"/>
    <w:rsid w:val="78356D77"/>
    <w:rsid w:val="78996027"/>
    <w:rsid w:val="78A475CC"/>
    <w:rsid w:val="799D200B"/>
    <w:rsid w:val="7A7B1FDE"/>
    <w:rsid w:val="7A843F03"/>
    <w:rsid w:val="7A9000FB"/>
    <w:rsid w:val="7B3D2B5A"/>
    <w:rsid w:val="7B5A7C1B"/>
    <w:rsid w:val="7B6D0D6F"/>
    <w:rsid w:val="7B9776BB"/>
    <w:rsid w:val="7BF52D2C"/>
    <w:rsid w:val="7C445B3C"/>
    <w:rsid w:val="7D057DD8"/>
    <w:rsid w:val="7D4A1C97"/>
    <w:rsid w:val="7D7059C6"/>
    <w:rsid w:val="7DFC7A36"/>
    <w:rsid w:val="7E7C6811"/>
    <w:rsid w:val="7F020F1E"/>
    <w:rsid w:val="7FBD4A22"/>
    <w:rsid w:val="7FFE6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宋体"/>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仿宋"/>
      <w:b/>
      <w:bCs/>
      <w:sz w:val="32"/>
      <w:szCs w:val="32"/>
    </w:rPr>
  </w:style>
  <w:style w:type="paragraph" w:styleId="4">
    <w:name w:val="heading 3"/>
    <w:basedOn w:val="1"/>
    <w:next w:val="1"/>
    <w:unhideWhenUsed/>
    <w:qFormat/>
    <w:uiPriority w:val="0"/>
    <w:pPr>
      <w:keepNext/>
      <w:keepLines/>
      <w:spacing w:line="600" w:lineRule="exact"/>
      <w:ind w:firstLine="602" w:firstLineChars="200"/>
      <w:outlineLvl w:val="2"/>
    </w:pPr>
    <w:rPr>
      <w:rFonts w:eastAsia="方正楷体_GBK"/>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qFormat/>
    <w:uiPriority w:val="0"/>
    <w:pPr>
      <w:jc w:val="left"/>
    </w:pPr>
  </w:style>
  <w:style w:type="paragraph" w:styleId="6">
    <w:name w:val="Body Text"/>
    <w:basedOn w:val="1"/>
    <w:qFormat/>
    <w:uiPriority w:val="0"/>
    <w:rPr>
      <w:rFonts w:eastAsia="方正仿宋_GBK"/>
      <w:sz w:val="33"/>
      <w:szCs w:val="33"/>
    </w:rPr>
  </w:style>
  <w:style w:type="paragraph" w:styleId="7">
    <w:name w:val="Balloon Text"/>
    <w:basedOn w:val="1"/>
    <w:link w:val="31"/>
    <w:qFormat/>
    <w:uiPriority w:val="0"/>
    <w:rPr>
      <w:sz w:val="18"/>
      <w:szCs w:val="18"/>
    </w:rPr>
  </w:style>
  <w:style w:type="paragraph" w:styleId="8">
    <w:name w:val="footer"/>
    <w:basedOn w:val="1"/>
    <w:qFormat/>
    <w:uiPriority w:val="0"/>
    <w:pPr>
      <w:tabs>
        <w:tab w:val="center" w:pos="4153"/>
        <w:tab w:val="right" w:pos="8306"/>
      </w:tabs>
      <w:snapToGrid w:val="0"/>
      <w:jc w:val="left"/>
    </w:pPr>
    <w:rPr>
      <w:rFonts w:eastAsia="宋体"/>
      <w:sz w:val="21"/>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39"/>
    <w:pPr>
      <w:tabs>
        <w:tab w:val="right" w:leader="dot" w:pos="8850"/>
      </w:tabs>
      <w:spacing w:line="600" w:lineRule="exact"/>
    </w:pPr>
    <w:rPr>
      <w:rFonts w:ascii="仿宋_GB2312" w:hAnsi="仿宋" w:eastAsia="宋体"/>
      <w:color w:val="000000"/>
    </w:rPr>
  </w:style>
  <w:style w:type="paragraph" w:styleId="11">
    <w:name w:val="toc 2"/>
    <w:basedOn w:val="1"/>
    <w:next w:val="1"/>
    <w:qFormat/>
    <w:uiPriority w:val="0"/>
    <w:pPr>
      <w:ind w:left="420" w:leftChars="200"/>
    </w:pPr>
  </w:style>
  <w:style w:type="paragraph" w:styleId="12">
    <w:name w:val="Normal (Web)"/>
    <w:basedOn w:val="1"/>
    <w:qFormat/>
    <w:uiPriority w:val="0"/>
    <w:pPr>
      <w:jc w:val="left"/>
    </w:pPr>
    <w:rPr>
      <w:kern w:val="0"/>
      <w:sz w:val="24"/>
    </w:rPr>
  </w:style>
  <w:style w:type="paragraph" w:styleId="13">
    <w:name w:val="annotation subject"/>
    <w:basedOn w:val="5"/>
    <w:next w:val="5"/>
    <w:link w:val="3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qFormat/>
    <w:uiPriority w:val="0"/>
    <w:rPr>
      <w:rFonts w:ascii="Times New Roman" w:hAnsi="Times New Roman" w:eastAsia="宋体" w:cs="Times New Roman"/>
    </w:rPr>
  </w:style>
  <w:style w:type="character" w:styleId="19">
    <w:name w:val="FollowedHyperlink"/>
    <w:basedOn w:val="16"/>
    <w:qFormat/>
    <w:uiPriority w:val="0"/>
    <w:rPr>
      <w:color w:val="333333"/>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unhideWhenUsed/>
    <w:qFormat/>
    <w:uiPriority w:val="99"/>
    <w:rPr>
      <w:color w:val="0563C1" w:themeColor="hyperlink"/>
      <w:u w:val="single"/>
    </w:rPr>
  </w:style>
  <w:style w:type="character" w:styleId="25">
    <w:name w:val="HTML Code"/>
    <w:basedOn w:val="16"/>
    <w:qFormat/>
    <w:uiPriority w:val="0"/>
    <w:rPr>
      <w:rFonts w:ascii="Courier New" w:hAnsi="Courier New"/>
      <w:sz w:val="20"/>
    </w:rPr>
  </w:style>
  <w:style w:type="character" w:styleId="26">
    <w:name w:val="annotation reference"/>
    <w:basedOn w:val="16"/>
    <w:qFormat/>
    <w:uiPriority w:val="0"/>
    <w:rPr>
      <w:sz w:val="21"/>
      <w:szCs w:val="21"/>
    </w:rPr>
  </w:style>
  <w:style w:type="character" w:styleId="27">
    <w:name w:val="HTML Cite"/>
    <w:basedOn w:val="16"/>
    <w:qFormat/>
    <w:uiPriority w:val="0"/>
  </w:style>
  <w:style w:type="paragraph" w:customStyle="1" w:styleId="28">
    <w:name w:val="样式 样式 标题 2 + 段前: 5 磅 段后: 5 磅 + 段前: 0.5 行 段后: 0.5 行"/>
    <w:basedOn w:val="29"/>
    <w:link w:val="34"/>
    <w:qFormat/>
    <w:uiPriority w:val="0"/>
    <w:rPr>
      <w:rFonts w:cs="Times New Roman"/>
    </w:rPr>
  </w:style>
  <w:style w:type="paragraph" w:customStyle="1" w:styleId="29">
    <w:name w:val="样式 标题 1 + 段前: 5 磅 段后: 5 磅"/>
    <w:basedOn w:val="2"/>
    <w:qFormat/>
    <w:uiPriority w:val="0"/>
    <w:pPr>
      <w:spacing w:beforeLines="50" w:afterLines="50" w:line="596" w:lineRule="exact"/>
    </w:pPr>
    <w:rPr>
      <w:rFonts w:cs="宋体"/>
      <w:szCs w:val="20"/>
    </w:rPr>
  </w:style>
  <w:style w:type="paragraph" w:customStyle="1" w:styleId="30">
    <w:name w:val="reader-word-layer reader-word-s4-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1">
    <w:name w:val="批注框文本 Char"/>
    <w:basedOn w:val="16"/>
    <w:link w:val="7"/>
    <w:qFormat/>
    <w:uiPriority w:val="0"/>
    <w:rPr>
      <w:rFonts w:eastAsia="仿宋_GB2312"/>
      <w:kern w:val="2"/>
      <w:sz w:val="18"/>
      <w:szCs w:val="18"/>
    </w:rPr>
  </w:style>
  <w:style w:type="character" w:customStyle="1" w:styleId="32">
    <w:name w:val="批注文字 Char"/>
    <w:basedOn w:val="16"/>
    <w:link w:val="5"/>
    <w:qFormat/>
    <w:uiPriority w:val="0"/>
    <w:rPr>
      <w:rFonts w:eastAsia="仿宋_GB2312"/>
      <w:kern w:val="2"/>
      <w:sz w:val="30"/>
      <w:szCs w:val="24"/>
    </w:rPr>
  </w:style>
  <w:style w:type="character" w:customStyle="1" w:styleId="33">
    <w:name w:val="批注主题 Char"/>
    <w:basedOn w:val="32"/>
    <w:link w:val="13"/>
    <w:qFormat/>
    <w:uiPriority w:val="0"/>
    <w:rPr>
      <w:rFonts w:eastAsia="仿宋_GB2312"/>
      <w:b/>
      <w:bCs/>
      <w:kern w:val="2"/>
      <w:sz w:val="30"/>
      <w:szCs w:val="24"/>
    </w:rPr>
  </w:style>
  <w:style w:type="character" w:customStyle="1" w:styleId="34">
    <w:name w:val="样式 样式 标题 2 + 段前: 5 磅 段后: 5 磅 + 段前: 0.5 行 段后: 0.5 行 Char"/>
    <w:link w:val="28"/>
    <w:qFormat/>
    <w:uiPriority w:val="0"/>
    <w:rPr>
      <w:rFonts w:cs="Times New Roman"/>
    </w:rPr>
  </w:style>
  <w:style w:type="character" w:customStyle="1" w:styleId="35">
    <w:name w:val="tyhl"/>
    <w:basedOn w:val="16"/>
    <w:qFormat/>
    <w:uiPriority w:val="0"/>
    <w:rPr>
      <w:shd w:val="clear" w:color="auto" w:fill="FFFFFF"/>
    </w:rPr>
  </w:style>
  <w:style w:type="character" w:customStyle="1" w:styleId="36">
    <w:name w:val="cur"/>
    <w:basedOn w:val="16"/>
    <w:qFormat/>
    <w:uiPriority w:val="0"/>
    <w:rPr>
      <w:shd w:val="clear" w:color="auto" w:fill="84B5FF"/>
    </w:rPr>
  </w:style>
  <w:style w:type="character" w:customStyle="1" w:styleId="37">
    <w:name w:val="cur1"/>
    <w:basedOn w:val="16"/>
    <w:qFormat/>
    <w:uiPriority w:val="0"/>
    <w:rPr>
      <w:color w:val="3354A2"/>
    </w:rPr>
  </w:style>
  <w:style w:type="character" w:customStyle="1" w:styleId="38">
    <w:name w:val="yjr"/>
    <w:basedOn w:val="16"/>
    <w:qFormat/>
    <w:uiPriority w:val="0"/>
  </w:style>
  <w:style w:type="character" w:customStyle="1" w:styleId="39">
    <w:name w:val="tit18"/>
    <w:basedOn w:val="16"/>
    <w:qFormat/>
    <w:uiPriority w:val="0"/>
    <w:rPr>
      <w:b/>
      <w:color w:val="333333"/>
      <w:sz w:val="19"/>
      <w:szCs w:val="19"/>
    </w:rPr>
  </w:style>
  <w:style w:type="character" w:customStyle="1" w:styleId="40">
    <w:name w:val="yj-blue"/>
    <w:basedOn w:val="16"/>
    <w:qFormat/>
    <w:uiPriority w:val="0"/>
    <w:rPr>
      <w:b/>
      <w:color w:val="FFFFFF"/>
      <w:sz w:val="10"/>
      <w:szCs w:val="10"/>
      <w:shd w:val="clear" w:color="auto" w:fill="1E84CB"/>
    </w:rPr>
  </w:style>
  <w:style w:type="character" w:customStyle="1" w:styleId="41">
    <w:name w:val="name4"/>
    <w:basedOn w:val="16"/>
    <w:qFormat/>
    <w:uiPriority w:val="0"/>
    <w:rPr>
      <w:color w:val="2760B7"/>
    </w:rPr>
  </w:style>
  <w:style w:type="character" w:customStyle="1" w:styleId="42">
    <w:name w:val="con5"/>
    <w:basedOn w:val="16"/>
    <w:qFormat/>
    <w:uiPriority w:val="0"/>
  </w:style>
  <w:style w:type="character" w:customStyle="1" w:styleId="43">
    <w:name w:val="hover44"/>
    <w:basedOn w:val="16"/>
    <w:qFormat/>
    <w:uiPriority w:val="0"/>
    <w:rPr>
      <w:b/>
    </w:rPr>
  </w:style>
  <w:style w:type="character" w:customStyle="1" w:styleId="44">
    <w:name w:val="w100"/>
    <w:basedOn w:val="16"/>
    <w:qFormat/>
    <w:uiPriority w:val="0"/>
  </w:style>
  <w:style w:type="character" w:customStyle="1" w:styleId="45">
    <w:name w:val="red"/>
    <w:basedOn w:val="16"/>
    <w:qFormat/>
    <w:uiPriority w:val="0"/>
    <w:rPr>
      <w:color w:val="E1211F"/>
    </w:rPr>
  </w:style>
  <w:style w:type="character" w:customStyle="1" w:styleId="46">
    <w:name w:val="red1"/>
    <w:basedOn w:val="16"/>
    <w:qFormat/>
    <w:uiPriority w:val="0"/>
    <w:rPr>
      <w:color w:val="E1211F"/>
    </w:rPr>
  </w:style>
  <w:style w:type="character" w:customStyle="1" w:styleId="47">
    <w:name w:val="red2"/>
    <w:basedOn w:val="16"/>
    <w:qFormat/>
    <w:uiPriority w:val="0"/>
    <w:rPr>
      <w:color w:val="E33938"/>
      <w:u w:val="single"/>
    </w:rPr>
  </w:style>
  <w:style w:type="character" w:customStyle="1" w:styleId="48">
    <w:name w:val="red3"/>
    <w:basedOn w:val="16"/>
    <w:qFormat/>
    <w:uiPriority w:val="0"/>
    <w:rPr>
      <w:color w:val="E1211F"/>
      <w:u w:val="single"/>
    </w:rPr>
  </w:style>
  <w:style w:type="character" w:customStyle="1" w:styleId="49">
    <w:name w:val="red4"/>
    <w:basedOn w:val="16"/>
    <w:qFormat/>
    <w:uiPriority w:val="0"/>
    <w:rPr>
      <w:color w:val="E1211F"/>
    </w:rPr>
  </w:style>
  <w:style w:type="character" w:customStyle="1" w:styleId="50">
    <w:name w:val="yj-time"/>
    <w:basedOn w:val="16"/>
    <w:qFormat/>
    <w:uiPriority w:val="0"/>
    <w:rPr>
      <w:color w:val="AAAAAA"/>
      <w:sz w:val="9"/>
      <w:szCs w:val="9"/>
    </w:rPr>
  </w:style>
  <w:style w:type="character" w:customStyle="1" w:styleId="51">
    <w:name w:val="yj-time1"/>
    <w:basedOn w:val="16"/>
    <w:qFormat/>
    <w:uiPriority w:val="0"/>
    <w:rPr>
      <w:color w:val="AAAAAA"/>
      <w:sz w:val="9"/>
      <w:szCs w:val="9"/>
    </w:rPr>
  </w:style>
  <w:style w:type="character" w:customStyle="1" w:styleId="52">
    <w:name w:val="yjl"/>
    <w:basedOn w:val="16"/>
    <w:qFormat/>
    <w:uiPriority w:val="0"/>
    <w:rPr>
      <w:color w:val="999999"/>
    </w:rPr>
  </w:style>
  <w:style w:type="character" w:customStyle="1" w:styleId="53">
    <w:name w:val="red5"/>
    <w:basedOn w:val="16"/>
    <w:qFormat/>
    <w:uiPriority w:val="0"/>
    <w:rPr>
      <w:color w:val="E1211F"/>
    </w:rPr>
  </w:style>
  <w:style w:type="character" w:customStyle="1" w:styleId="54">
    <w:name w:val="cur14"/>
    <w:basedOn w:val="16"/>
    <w:qFormat/>
    <w:uiPriority w:val="0"/>
    <w:rPr>
      <w:shd w:val="clear" w:color="auto" w:fill="84B5FF"/>
    </w:rPr>
  </w:style>
  <w:style w:type="character" w:customStyle="1" w:styleId="55">
    <w:name w:val="cur15"/>
    <w:basedOn w:val="16"/>
    <w:qFormat/>
    <w:uiPriority w:val="0"/>
    <w:rPr>
      <w:color w:val="3354A2"/>
    </w:rPr>
  </w:style>
  <w:style w:type="character" w:customStyle="1" w:styleId="56">
    <w:name w:val="con4"/>
    <w:basedOn w:val="16"/>
    <w:qFormat/>
    <w:uiPriority w:val="0"/>
  </w:style>
  <w:style w:type="character" w:customStyle="1" w:styleId="57">
    <w:name w:val="hover"/>
    <w:basedOn w:val="16"/>
    <w:qFormat/>
    <w:uiPriority w:val="0"/>
    <w:rPr>
      <w:color w:val="0068B7"/>
    </w:rPr>
  </w:style>
  <w:style w:type="character" w:customStyle="1" w:styleId="58">
    <w:name w:val="hover1"/>
    <w:basedOn w:val="16"/>
    <w:qFormat/>
    <w:uiPriority w:val="0"/>
    <w:rPr>
      <w:b/>
      <w:color w:val="FFFFFF"/>
    </w:rPr>
  </w:style>
  <w:style w:type="character" w:customStyle="1" w:styleId="59">
    <w:name w:val="s1"/>
    <w:basedOn w:val="16"/>
    <w:qFormat/>
    <w:uiPriority w:val="0"/>
  </w:style>
  <w:style w:type="character" w:customStyle="1" w:styleId="60">
    <w:name w:val="s11"/>
    <w:basedOn w:val="16"/>
    <w:qFormat/>
    <w:uiPriority w:val="0"/>
  </w:style>
  <w:style w:type="character" w:customStyle="1" w:styleId="61">
    <w:name w:val="ly"/>
    <w:basedOn w:val="16"/>
    <w:qFormat/>
    <w:uiPriority w:val="0"/>
    <w:rPr>
      <w:color w:val="999999"/>
      <w:sz w:val="10"/>
      <w:szCs w:val="10"/>
    </w:rPr>
  </w:style>
  <w:style w:type="character" w:customStyle="1" w:styleId="62">
    <w:name w:val="s2"/>
    <w:basedOn w:val="16"/>
    <w:qFormat/>
    <w:uiPriority w:val="0"/>
  </w:style>
  <w:style w:type="character" w:customStyle="1" w:styleId="63">
    <w:name w:val="s5"/>
    <w:basedOn w:val="16"/>
    <w:qFormat/>
    <w:uiPriority w:val="0"/>
  </w:style>
  <w:style w:type="character" w:customStyle="1" w:styleId="64">
    <w:name w:val="s3"/>
    <w:basedOn w:val="16"/>
    <w:qFormat/>
    <w:uiPriority w:val="0"/>
  </w:style>
  <w:style w:type="character" w:customStyle="1" w:styleId="65">
    <w:name w:val="s4"/>
    <w:basedOn w:val="16"/>
    <w:qFormat/>
    <w:uiPriority w:val="0"/>
  </w:style>
  <w:style w:type="character" w:customStyle="1" w:styleId="66">
    <w:name w:val="prev"/>
    <w:basedOn w:val="16"/>
    <w:qFormat/>
    <w:uiPriority w:val="0"/>
  </w:style>
  <w:style w:type="character" w:customStyle="1" w:styleId="67">
    <w:name w:val="next"/>
    <w:basedOn w:val="16"/>
    <w:qFormat/>
    <w:uiPriority w:val="0"/>
  </w:style>
  <w:style w:type="character" w:customStyle="1" w:styleId="68">
    <w:name w:val="font21"/>
    <w:basedOn w:val="16"/>
    <w:qFormat/>
    <w:uiPriority w:val="0"/>
    <w:rPr>
      <w:rFonts w:hint="eastAsia" w:ascii="仿宋" w:hAnsi="仿宋" w:eastAsia="仿宋" w:cs="仿宋"/>
      <w:b/>
      <w:color w:val="000000"/>
      <w:sz w:val="22"/>
      <w:szCs w:val="22"/>
      <w:u w:val="none"/>
    </w:rPr>
  </w:style>
  <w:style w:type="character" w:customStyle="1" w:styleId="69">
    <w:name w:val="current"/>
    <w:basedOn w:val="16"/>
    <w:qFormat/>
    <w:uiPriority w:val="0"/>
    <w:rPr>
      <w:b/>
      <w:color w:val="FFFFFF"/>
      <w:bdr w:val="single" w:color="1485FF" w:sz="6" w:space="0"/>
      <w:shd w:val="clear" w:color="auto" w:fill="1485FF"/>
    </w:rPr>
  </w:style>
  <w:style w:type="character" w:customStyle="1" w:styleId="70">
    <w:name w:val="current1"/>
    <w:basedOn w:val="16"/>
    <w:qFormat/>
    <w:uiPriority w:val="0"/>
    <w:rPr>
      <w:b/>
      <w:color w:val="FFFFFF"/>
      <w:bdr w:val="single" w:color="C5C5C5" w:sz="6" w:space="0"/>
      <w:shd w:val="clear" w:color="auto" w:fill="278100"/>
    </w:rPr>
  </w:style>
  <w:style w:type="character" w:customStyle="1" w:styleId="71">
    <w:name w:val="disabled"/>
    <w:basedOn w:val="16"/>
    <w:qFormat/>
    <w:uiPriority w:val="0"/>
    <w:rPr>
      <w:color w:val="C0C0C0"/>
      <w:bdr w:val="single" w:color="C5C5C5" w:sz="6" w:space="0"/>
    </w:rPr>
  </w:style>
  <w:style w:type="character" w:customStyle="1" w:styleId="72">
    <w:name w:val="disabled1"/>
    <w:basedOn w:val="16"/>
    <w:qFormat/>
    <w:uiPriority w:val="0"/>
    <w:rPr>
      <w:color w:val="999999"/>
      <w:bdr w:val="single" w:color="C5C5C5" w:sz="6" w:space="0"/>
    </w:rPr>
  </w:style>
  <w:style w:type="character" w:customStyle="1" w:styleId="73">
    <w:name w:val="chljeg"/>
    <w:basedOn w:val="16"/>
    <w:qFormat/>
    <w:uiPriority w:val="0"/>
    <w:rPr>
      <w:color w:val="E70000"/>
    </w:rPr>
  </w:style>
  <w:style w:type="character" w:customStyle="1" w:styleId="74">
    <w:name w:val="name"/>
    <w:basedOn w:val="16"/>
    <w:qFormat/>
    <w:uiPriority w:val="0"/>
  </w:style>
  <w:style w:type="character" w:customStyle="1" w:styleId="75">
    <w:name w:val="xjbm"/>
    <w:basedOn w:val="16"/>
    <w:qFormat/>
    <w:uiPriority w:val="0"/>
  </w:style>
  <w:style w:type="character" w:customStyle="1" w:styleId="76">
    <w:name w:val="shenhe"/>
    <w:basedOn w:val="16"/>
    <w:qFormat/>
    <w:uiPriority w:val="0"/>
    <w:rPr>
      <w:color w:val="007E09"/>
    </w:rPr>
  </w:style>
  <w:style w:type="character" w:customStyle="1" w:styleId="77">
    <w:name w:val="huifu"/>
    <w:basedOn w:val="16"/>
    <w:qFormat/>
    <w:uiPriority w:val="0"/>
  </w:style>
  <w:style w:type="character" w:customStyle="1" w:styleId="78">
    <w:name w:val="dengji"/>
    <w:basedOn w:val="16"/>
    <w:qFormat/>
    <w:uiPriority w:val="0"/>
  </w:style>
  <w:style w:type="character" w:customStyle="1" w:styleId="79">
    <w:name w:val="dengji1"/>
    <w:basedOn w:val="16"/>
    <w:qFormat/>
    <w:uiPriority w:val="0"/>
  </w:style>
  <w:style w:type="character" w:customStyle="1" w:styleId="80">
    <w:name w:val="paim"/>
    <w:basedOn w:val="16"/>
    <w:qFormat/>
    <w:uiPriority w:val="0"/>
  </w:style>
  <w:style w:type="character" w:customStyle="1" w:styleId="81">
    <w:name w:val="bsharetext"/>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1804</Words>
  <Characters>10288</Characters>
  <Lines>85</Lines>
  <Paragraphs>24</Paragraphs>
  <TotalTime>72</TotalTime>
  <ScaleCrop>false</ScaleCrop>
  <LinksUpToDate>false</LinksUpToDate>
  <CharactersWithSpaces>12068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2019-08-15T15:20:00Z</dcterms:created>
  <dc:creator>阿怪</dc:creator>
  <cp:lastModifiedBy>huawei</cp:lastModifiedBy>
  <cp:lastPrinted>2021-01-28T03:49:00Z</cp:lastPrinted>
  <dcterms:modified xsi:type="dcterms:W3CDTF">2022-05-24T07:40:27Z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