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9A490">
      <w:pPr>
        <w:spacing w:before="120" w:beforeLines="50" w:after="120" w:afterLines="50" w:line="360" w:lineRule="auto"/>
        <w:jc w:val="left"/>
        <w:rPr>
          <w:rFonts w:ascii="仿宋_GB2312" w:hAnsi="仿宋"/>
          <w:b/>
          <w:color w:val="000000"/>
          <w:szCs w:val="30"/>
        </w:rPr>
      </w:pPr>
    </w:p>
    <w:p w14:paraId="38942A32">
      <w:pPr>
        <w:spacing w:before="120" w:beforeLines="50" w:after="120" w:afterLines="50" w:line="360" w:lineRule="auto"/>
        <w:ind w:firstLine="602" w:firstLineChars="200"/>
        <w:jc w:val="left"/>
        <w:rPr>
          <w:rFonts w:ascii="仿宋_GB2312" w:hAnsi="仿宋"/>
          <w:b/>
          <w:color w:val="000000"/>
          <w:szCs w:val="30"/>
        </w:rPr>
      </w:pPr>
    </w:p>
    <w:p w14:paraId="26A4FDF2">
      <w:pPr>
        <w:spacing w:before="120" w:beforeLines="50" w:after="120" w:afterLines="50" w:line="360" w:lineRule="auto"/>
        <w:ind w:firstLine="602" w:firstLineChars="200"/>
        <w:jc w:val="left"/>
        <w:rPr>
          <w:rFonts w:ascii="仿宋_GB2312" w:hAnsi="仿宋"/>
          <w:b/>
          <w:color w:val="000000"/>
          <w:szCs w:val="30"/>
        </w:rPr>
      </w:pPr>
    </w:p>
    <w:p w14:paraId="0F61BF1D">
      <w:pPr>
        <w:spacing w:before="120" w:beforeLines="50" w:after="120" w:afterLines="50" w:line="360" w:lineRule="auto"/>
        <w:ind w:firstLine="602" w:firstLineChars="200"/>
        <w:jc w:val="left"/>
        <w:rPr>
          <w:rFonts w:ascii="仿宋_GB2312" w:hAnsi="仿宋"/>
          <w:b/>
          <w:color w:val="000000"/>
          <w:szCs w:val="30"/>
        </w:rPr>
      </w:pPr>
    </w:p>
    <w:p w14:paraId="23C32A5D">
      <w:pPr>
        <w:spacing w:before="120" w:beforeLines="50"/>
        <w:jc w:val="center"/>
        <w:rPr>
          <w:rFonts w:hint="eastAsia" w:ascii="仿宋" w:hAnsi="仿宋" w:eastAsia="仿宋"/>
          <w:b/>
          <w:bCs/>
          <w:sz w:val="36"/>
          <w:szCs w:val="36"/>
        </w:rPr>
      </w:pPr>
      <w:bookmarkStart w:id="0" w:name="_Toc447578736"/>
      <w:bookmarkStart w:id="1" w:name="_Toc447603194"/>
      <w:bookmarkStart w:id="2" w:name="_Toc436225781"/>
      <w:bookmarkStart w:id="3" w:name="_Toc29251"/>
      <w:bookmarkStart w:id="4" w:name="_Toc447578737"/>
      <w:r>
        <w:rPr>
          <w:rFonts w:hint="eastAsia" w:ascii="仿宋" w:hAnsi="仿宋" w:eastAsia="仿宋"/>
          <w:b/>
          <w:bCs/>
          <w:sz w:val="36"/>
          <w:szCs w:val="36"/>
        </w:rPr>
        <w:t>巫溪县房屋管理服务中心2019年度</w:t>
      </w:r>
    </w:p>
    <w:p w14:paraId="4059BF7F">
      <w:pPr>
        <w:spacing w:before="120" w:beforeLines="50"/>
        <w:jc w:val="center"/>
        <w:rPr>
          <w:rFonts w:hint="eastAsia" w:ascii="仿宋" w:hAnsi="仿宋" w:eastAsia="仿宋"/>
          <w:sz w:val="36"/>
          <w:szCs w:val="36"/>
        </w:rPr>
      </w:pPr>
      <w:r>
        <w:rPr>
          <w:rFonts w:hint="eastAsia" w:ascii="仿宋" w:hAnsi="仿宋" w:eastAsia="仿宋"/>
          <w:b/>
          <w:bCs/>
          <w:sz w:val="36"/>
          <w:szCs w:val="36"/>
        </w:rPr>
        <w:t>部门整体支出</w:t>
      </w:r>
      <w:bookmarkEnd w:id="0"/>
      <w:bookmarkEnd w:id="1"/>
      <w:bookmarkEnd w:id="2"/>
    </w:p>
    <w:p w14:paraId="1C0C34E1">
      <w:pPr>
        <w:spacing w:before="240" w:beforeLines="100" w:line="360" w:lineRule="auto"/>
        <w:jc w:val="center"/>
        <w:rPr>
          <w:rFonts w:hint="eastAsia" w:ascii="仿宋" w:hAnsi="仿宋" w:eastAsia="仿宋" w:cs="Arial"/>
          <w:b/>
          <w:color w:val="000000"/>
          <w:sz w:val="52"/>
          <w:szCs w:val="48"/>
        </w:rPr>
      </w:pPr>
      <w:r>
        <w:rPr>
          <w:rFonts w:hint="eastAsia" w:ascii="仿宋" w:hAnsi="仿宋" w:eastAsia="仿宋" w:cs="Arial"/>
          <w:b/>
          <w:color w:val="000000"/>
          <w:sz w:val="52"/>
          <w:szCs w:val="48"/>
        </w:rPr>
        <w:t>绩 效 评 价 报 告</w:t>
      </w:r>
    </w:p>
    <w:p w14:paraId="78FA1DA2">
      <w:pPr>
        <w:spacing w:line="600" w:lineRule="auto"/>
        <w:jc w:val="center"/>
        <w:rPr>
          <w:rFonts w:ascii="仿宋" w:hAnsi="仿宋" w:eastAsia="仿宋" w:cs="仿宋"/>
          <w:b/>
          <w:bCs w:val="0"/>
          <w:color w:val="000000"/>
          <w:spacing w:val="-10"/>
          <w:szCs w:val="30"/>
        </w:rPr>
      </w:pPr>
      <w:r>
        <w:rPr>
          <w:rFonts w:hint="eastAsia" w:ascii="仿宋" w:hAnsi="仿宋" w:eastAsia="仿宋" w:cs="仿宋"/>
          <w:b/>
          <w:bCs w:val="0"/>
          <w:color w:val="000000"/>
          <w:spacing w:val="-10"/>
          <w:szCs w:val="30"/>
        </w:rPr>
        <w:t>重通会所咨</w:t>
      </w:r>
      <w:r>
        <w:rPr>
          <w:rFonts w:hint="eastAsia" w:ascii="仿宋" w:hAnsi="仿宋" w:eastAsia="仿宋" w:cs="宋体"/>
          <w:b/>
          <w:bCs w:val="0"/>
          <w:color w:val="000000"/>
          <w:kern w:val="0"/>
          <w:szCs w:val="30"/>
        </w:rPr>
        <w:t>〔2020〕</w:t>
      </w:r>
      <w:r>
        <w:rPr>
          <w:rFonts w:hint="eastAsia" w:ascii="仿宋" w:hAnsi="仿宋" w:eastAsia="仿宋" w:cs="宋体"/>
          <w:b/>
          <w:bCs w:val="0"/>
          <w:color w:val="000000"/>
          <w:kern w:val="0"/>
          <w:szCs w:val="30"/>
          <w:lang w:val="en-US" w:eastAsia="zh-CN"/>
        </w:rPr>
        <w:t>0</w:t>
      </w:r>
      <w:r>
        <w:rPr>
          <w:rFonts w:hint="eastAsia" w:ascii="仿宋" w:hAnsi="仿宋" w:eastAsia="仿宋" w:cs="仿宋"/>
          <w:b/>
          <w:bCs w:val="0"/>
          <w:color w:val="000000"/>
          <w:spacing w:val="-10"/>
          <w:szCs w:val="30"/>
          <w:lang w:val="en-US" w:eastAsia="zh-CN"/>
        </w:rPr>
        <w:t>78</w:t>
      </w:r>
      <w:r>
        <w:rPr>
          <w:rFonts w:hint="eastAsia" w:ascii="仿宋" w:hAnsi="仿宋" w:eastAsia="仿宋" w:cs="仿宋"/>
          <w:b/>
          <w:bCs w:val="0"/>
          <w:color w:val="000000"/>
          <w:spacing w:val="-10"/>
          <w:szCs w:val="30"/>
        </w:rPr>
        <w:t>号</w:t>
      </w:r>
    </w:p>
    <w:p w14:paraId="43559353"/>
    <w:p w14:paraId="37C1524A">
      <w:pPr>
        <w:pStyle w:val="2"/>
      </w:pPr>
    </w:p>
    <w:p w14:paraId="784F37C7"/>
    <w:p w14:paraId="7D91FEC1">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0B68E0F5">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11F8649F">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5464B1CF">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重庆通冠会计师事务所有限责任公司</w:t>
      </w:r>
    </w:p>
    <w:p w14:paraId="6098CDAB">
      <w:pPr>
        <w:pageBreakBefore w:val="0"/>
        <w:widowControl w:val="0"/>
        <w:kinsoku/>
        <w:wordWrap/>
        <w:overflowPunct/>
        <w:topLinePunct w:val="0"/>
        <w:autoSpaceDE/>
        <w:autoSpaceDN/>
        <w:bidi w:val="0"/>
        <w:adjustRightInd/>
        <w:snapToGrid/>
        <w:spacing w:line="560" w:lineRule="exact"/>
        <w:jc w:val="center"/>
        <w:textAlignment w:val="auto"/>
      </w:pPr>
      <w:r>
        <w:rPr>
          <w:rFonts w:hint="eastAsia" w:ascii="仿宋" w:hAnsi="仿宋" w:eastAsia="仿宋" w:cs="仿宋"/>
          <w:b/>
          <w:bCs/>
          <w:sz w:val="32"/>
          <w:szCs w:val="32"/>
          <w:lang w:val="en-US" w:eastAsia="zh-CN"/>
        </w:rPr>
        <w:t>二〇二〇年十二月</w:t>
      </w:r>
    </w:p>
    <w:sdt>
      <w:sdtPr>
        <w:rPr>
          <w:rFonts w:hint="eastAsia" w:ascii="仿宋" w:hAnsi="仿宋" w:eastAsia="仿宋" w:cs="仿宋"/>
          <w:b w:val="0"/>
          <w:bCs w:val="0"/>
          <w:color w:val="000000"/>
          <w:kern w:val="2"/>
          <w:sz w:val="56"/>
          <w:szCs w:val="96"/>
        </w:rPr>
        <w:id w:val="147472287"/>
        <w15:color w:val="DBDBDB"/>
        <w:docPartObj>
          <w:docPartGallery w:val="Table of Contents"/>
          <w:docPartUnique/>
        </w:docPartObj>
      </w:sdtPr>
      <w:sdtEndPr>
        <w:rPr>
          <w:rFonts w:hint="eastAsia" w:ascii="Times New Roman" w:hAnsi="Times New Roman" w:eastAsia="仿宋_GB2312" w:cs="Times New Roman"/>
          <w:b w:val="0"/>
          <w:bCs w:val="0"/>
          <w:color w:val="000000"/>
          <w:kern w:val="44"/>
          <w:sz w:val="32"/>
          <w:szCs w:val="44"/>
        </w:rPr>
      </w:sdtEndPr>
      <w:sdtContent>
        <w:p w14:paraId="1D949EF5">
          <w:pPr>
            <w:pStyle w:val="7"/>
            <w:tabs>
              <w:tab w:val="right" w:leader="dot" w:pos="8786"/>
              <w:tab w:val="clear" w:pos="8850"/>
            </w:tabs>
            <w:spacing w:line="570" w:lineRule="exact"/>
            <w:jc w:val="center"/>
            <w:outlineLvl w:val="8"/>
            <w:rPr>
              <w:rFonts w:hint="eastAsia" w:ascii="仿宋" w:hAnsi="仿宋" w:eastAsia="仿宋" w:cs="仿宋"/>
              <w:b w:val="0"/>
              <w:bCs w:val="0"/>
              <w:color w:val="000000"/>
              <w:kern w:val="2"/>
              <w:sz w:val="56"/>
              <w:szCs w:val="96"/>
            </w:rPr>
          </w:pPr>
          <w:bookmarkStart w:id="5" w:name="_Toc30002"/>
          <w:bookmarkStart w:id="6" w:name="_Toc12796"/>
        </w:p>
        <w:p w14:paraId="6AB7E360">
          <w:pPr>
            <w:pStyle w:val="7"/>
            <w:tabs>
              <w:tab w:val="right" w:leader="dot" w:pos="8786"/>
              <w:tab w:val="clear" w:pos="8850"/>
            </w:tabs>
            <w:spacing w:line="570" w:lineRule="exact"/>
            <w:jc w:val="center"/>
            <w:outlineLvl w:val="8"/>
            <w:rPr>
              <w:rFonts w:hint="eastAsia" w:ascii="仿宋" w:hAnsi="仿宋" w:eastAsia="仿宋" w:cstheme="majorBidi"/>
              <w:b/>
              <w:bCs w:val="0"/>
              <w:color w:val="auto"/>
              <w:kern w:val="0"/>
              <w:sz w:val="44"/>
              <w:szCs w:val="44"/>
              <w:lang w:val="zh-CN" w:eastAsia="zh-CN" w:bidi="ar-SA"/>
            </w:rPr>
          </w:pPr>
          <w:r>
            <w:rPr>
              <w:rFonts w:hint="eastAsia" w:ascii="仿宋" w:hAnsi="仿宋" w:eastAsia="仿宋" w:cstheme="majorBidi"/>
              <w:b/>
              <w:bCs w:val="0"/>
              <w:color w:val="auto"/>
              <w:kern w:val="0"/>
              <w:sz w:val="44"/>
              <w:szCs w:val="44"/>
              <w:lang w:val="zh-CN" w:eastAsia="zh-CN" w:bidi="ar-SA"/>
            </w:rPr>
            <w:t>目</w:t>
          </w:r>
          <w:r>
            <w:rPr>
              <w:rFonts w:hint="eastAsia" w:ascii="仿宋" w:eastAsia="仿宋" w:cstheme="majorBidi"/>
              <w:b/>
              <w:bCs w:val="0"/>
              <w:color w:val="auto"/>
              <w:kern w:val="0"/>
              <w:sz w:val="44"/>
              <w:szCs w:val="44"/>
              <w:lang w:val="en-US" w:eastAsia="zh-CN" w:bidi="ar-SA"/>
            </w:rPr>
            <w:t xml:space="preserve">  </w:t>
          </w:r>
          <w:r>
            <w:rPr>
              <w:rFonts w:hint="eastAsia" w:ascii="仿宋" w:hAnsi="仿宋" w:eastAsia="仿宋" w:cstheme="majorBidi"/>
              <w:b/>
              <w:bCs w:val="0"/>
              <w:color w:val="auto"/>
              <w:kern w:val="0"/>
              <w:sz w:val="44"/>
              <w:szCs w:val="44"/>
              <w:lang w:val="en-US" w:eastAsia="zh-CN" w:bidi="ar-SA"/>
            </w:rPr>
            <w:t xml:space="preserve"> </w:t>
          </w:r>
          <w:r>
            <w:rPr>
              <w:rFonts w:hint="eastAsia" w:ascii="仿宋" w:hAnsi="仿宋" w:eastAsia="仿宋" w:cstheme="majorBidi"/>
              <w:b/>
              <w:bCs w:val="0"/>
              <w:color w:val="auto"/>
              <w:kern w:val="0"/>
              <w:sz w:val="44"/>
              <w:szCs w:val="44"/>
              <w:lang w:val="zh-CN" w:eastAsia="zh-CN" w:bidi="ar-SA"/>
            </w:rPr>
            <w:t>录</w:t>
          </w:r>
          <w:bookmarkEnd w:id="3"/>
          <w:bookmarkEnd w:id="5"/>
          <w:bookmarkEnd w:id="6"/>
        </w:p>
        <w:p w14:paraId="0D24F1CC">
          <w:pPr>
            <w:rPr>
              <w:lang w:val="zh-CN" w:eastAsia="zh-CN"/>
            </w:rPr>
          </w:pPr>
        </w:p>
        <w:p w14:paraId="15B0DCB0">
          <w:pPr>
            <w:pStyle w:val="7"/>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 w:val="0"/>
              <w:bCs w:val="0"/>
              <w:color w:val="000000"/>
              <w:kern w:val="44"/>
              <w:sz w:val="32"/>
              <w:szCs w:val="44"/>
            </w:rPr>
            <w:fldChar w:fldCharType="begin"/>
          </w:r>
          <w:r>
            <w:rPr>
              <w:rFonts w:hint="eastAsia" w:ascii="Times New Roman" w:hAnsi="Times New Roman" w:eastAsia="仿宋_GB2312" w:cs="Times New Roman"/>
              <w:b w:val="0"/>
              <w:bCs w:val="0"/>
              <w:color w:val="000000"/>
              <w:kern w:val="44"/>
              <w:sz w:val="32"/>
              <w:szCs w:val="44"/>
            </w:rPr>
            <w:instrText xml:space="preserve">TOC \o "1-4" \h \u </w:instrText>
          </w:r>
          <w:r>
            <w:rPr>
              <w:rFonts w:hint="eastAsia" w:ascii="Times New Roman" w:hAnsi="Times New Roman" w:eastAsia="仿宋_GB2312" w:cs="Times New Roman"/>
              <w:b w:val="0"/>
              <w:bCs w:val="0"/>
              <w:color w:val="000000"/>
              <w:kern w:val="44"/>
              <w:sz w:val="32"/>
              <w:szCs w:val="44"/>
            </w:rPr>
            <w:fldChar w:fldCharType="separate"/>
          </w: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_Toc3032 </w:instrText>
          </w:r>
          <w:r>
            <w:rPr>
              <w:rFonts w:hint="eastAsia" w:ascii="Times New Roman" w:hAnsi="Times New Roman" w:eastAsia="仿宋_GB2312" w:cs="Times New Roman"/>
              <w:bCs w:val="0"/>
              <w:kern w:val="44"/>
              <w:szCs w:val="44"/>
            </w:rPr>
            <w:fldChar w:fldCharType="separate"/>
          </w:r>
          <w:r>
            <w:rPr>
              <w:rFonts w:hint="eastAsia" w:ascii="黑体" w:hAnsi="黑体" w:eastAsia="黑体"/>
              <w:szCs w:val="32"/>
            </w:rPr>
            <w:t>一、部门基本情况</w:t>
          </w:r>
          <w:r>
            <w:tab/>
          </w:r>
          <w:r>
            <w:rPr>
              <w:rFonts w:hint="eastAsia" w:ascii="宋体" w:hAnsi="宋体" w:eastAsia="宋体" w:cs="宋体"/>
            </w:rPr>
            <w:fldChar w:fldCharType="begin"/>
          </w:r>
          <w:r>
            <w:rPr>
              <w:rFonts w:hint="eastAsia" w:ascii="宋体" w:hAnsi="宋体" w:eastAsia="宋体" w:cs="宋体"/>
            </w:rPr>
            <w:instrText xml:space="preserve"> PAGEREF _Toc3032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1D8B7BC6">
          <w:pPr>
            <w:pStyle w:val="9"/>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_Toc22843 </w:instrText>
          </w:r>
          <w:r>
            <w:rPr>
              <w:rFonts w:hint="eastAsia" w:ascii="Times New Roman" w:hAnsi="Times New Roman" w:eastAsia="仿宋_GB2312" w:cs="Times New Roman"/>
              <w:bCs w:val="0"/>
              <w:kern w:val="44"/>
              <w:szCs w:val="44"/>
            </w:rPr>
            <w:fldChar w:fldCharType="separate"/>
          </w:r>
          <w:r>
            <w:rPr>
              <w:rFonts w:hint="eastAsia" w:ascii="仿宋_GB2312" w:hAnsi="仿宋_GB2312"/>
              <w:bCs/>
              <w:spacing w:val="-10"/>
              <w:szCs w:val="30"/>
            </w:rPr>
            <w:t>（一）部门概况</w:t>
          </w:r>
          <w:r>
            <w:tab/>
          </w:r>
          <w:r>
            <w:rPr>
              <w:rFonts w:hint="eastAsia" w:ascii="宋体" w:hAnsi="宋体" w:eastAsia="宋体" w:cs="宋体"/>
            </w:rPr>
            <w:fldChar w:fldCharType="begin"/>
          </w:r>
          <w:r>
            <w:rPr>
              <w:rFonts w:hint="eastAsia" w:ascii="宋体" w:hAnsi="宋体" w:eastAsia="宋体" w:cs="宋体"/>
            </w:rPr>
            <w:instrText xml:space="preserve"> PAGEREF _Toc22843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44BF77F6">
          <w:pPr>
            <w:pStyle w:val="9"/>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_Toc10051 </w:instrText>
          </w:r>
          <w:r>
            <w:rPr>
              <w:rFonts w:hint="eastAsia" w:ascii="Times New Roman" w:hAnsi="Times New Roman" w:eastAsia="仿宋_GB2312" w:cs="Times New Roman"/>
              <w:bCs w:val="0"/>
              <w:kern w:val="44"/>
              <w:szCs w:val="44"/>
            </w:rPr>
            <w:fldChar w:fldCharType="separate"/>
          </w:r>
          <w:r>
            <w:rPr>
              <w:rFonts w:hint="eastAsia" w:ascii="仿宋_GB2312" w:hAnsi="仿宋_GB2312"/>
              <w:bCs/>
              <w:spacing w:val="-10"/>
              <w:szCs w:val="30"/>
            </w:rPr>
            <w:t>（二）部门资金使用情况</w:t>
          </w:r>
          <w:r>
            <w:tab/>
          </w:r>
          <w:r>
            <w:rPr>
              <w:rFonts w:hint="eastAsia" w:ascii="宋体" w:hAnsi="宋体" w:eastAsia="宋体" w:cs="宋体"/>
            </w:rPr>
            <w:fldChar w:fldCharType="begin"/>
          </w:r>
          <w:r>
            <w:rPr>
              <w:rFonts w:hint="eastAsia" w:ascii="宋体" w:hAnsi="宋体" w:eastAsia="宋体" w:cs="宋体"/>
            </w:rPr>
            <w:instrText xml:space="preserve"> PAGEREF _Toc10051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6352DE42">
          <w:pPr>
            <w:pStyle w:val="9"/>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_Toc7174 </w:instrText>
          </w:r>
          <w:r>
            <w:rPr>
              <w:rFonts w:hint="eastAsia" w:ascii="Times New Roman" w:hAnsi="Times New Roman" w:eastAsia="仿宋_GB2312" w:cs="Times New Roman"/>
              <w:bCs w:val="0"/>
              <w:kern w:val="44"/>
              <w:szCs w:val="44"/>
            </w:rPr>
            <w:fldChar w:fldCharType="separate"/>
          </w:r>
          <w:r>
            <w:rPr>
              <w:rFonts w:hint="eastAsia" w:ascii="仿宋_GB2312" w:hAnsi="仿宋_GB2312"/>
              <w:bCs/>
              <w:spacing w:val="-10"/>
              <w:szCs w:val="30"/>
            </w:rPr>
            <w:t>（三）部门绩效目标设置及完成情况</w:t>
          </w:r>
          <w:r>
            <w:tab/>
          </w:r>
          <w:r>
            <w:rPr>
              <w:rFonts w:hint="eastAsia" w:ascii="宋体" w:hAnsi="宋体" w:eastAsia="宋体" w:cs="宋体"/>
            </w:rPr>
            <w:fldChar w:fldCharType="begin"/>
          </w:r>
          <w:r>
            <w:rPr>
              <w:rFonts w:hint="eastAsia" w:ascii="宋体" w:hAnsi="宋体" w:eastAsia="宋体" w:cs="宋体"/>
            </w:rPr>
            <w:instrText xml:space="preserve"> PAGEREF _Toc7174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509DBAD4">
          <w:pPr>
            <w:pStyle w:val="7"/>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_Toc23769 </w:instrText>
          </w:r>
          <w:r>
            <w:rPr>
              <w:rFonts w:hint="eastAsia" w:ascii="Times New Roman" w:hAnsi="Times New Roman" w:eastAsia="仿宋_GB2312" w:cs="Times New Roman"/>
              <w:bCs w:val="0"/>
              <w:kern w:val="44"/>
              <w:szCs w:val="44"/>
            </w:rPr>
            <w:fldChar w:fldCharType="separate"/>
          </w:r>
          <w:r>
            <w:rPr>
              <w:rFonts w:hint="eastAsia" w:ascii="黑体" w:hAnsi="黑体" w:eastAsia="黑体"/>
              <w:bCs/>
              <w:szCs w:val="32"/>
            </w:rPr>
            <w:t>二、绩效评价工作情况</w:t>
          </w:r>
          <w:r>
            <w:tab/>
          </w:r>
          <w:r>
            <w:rPr>
              <w:rFonts w:hint="eastAsia" w:ascii="宋体" w:hAnsi="宋体" w:eastAsia="宋体" w:cs="宋体"/>
            </w:rPr>
            <w:fldChar w:fldCharType="begin"/>
          </w:r>
          <w:r>
            <w:rPr>
              <w:rFonts w:hint="eastAsia" w:ascii="宋体" w:hAnsi="宋体" w:eastAsia="宋体" w:cs="宋体"/>
            </w:rPr>
            <w:instrText xml:space="preserve"> PAGEREF _Toc23769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3C11FC2C">
          <w:pPr>
            <w:pStyle w:val="7"/>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_Toc18933 </w:instrText>
          </w:r>
          <w:r>
            <w:rPr>
              <w:rFonts w:hint="eastAsia" w:ascii="Times New Roman" w:hAnsi="Times New Roman" w:eastAsia="仿宋_GB2312" w:cs="Times New Roman"/>
              <w:bCs w:val="0"/>
              <w:kern w:val="44"/>
              <w:szCs w:val="44"/>
            </w:rPr>
            <w:fldChar w:fldCharType="separate"/>
          </w:r>
          <w:r>
            <w:rPr>
              <w:rFonts w:hint="eastAsia"/>
              <w:szCs w:val="30"/>
            </w:rPr>
            <w:t>（一）绩效评价目的</w:t>
          </w:r>
          <w:r>
            <w:tab/>
          </w:r>
          <w:r>
            <w:rPr>
              <w:rFonts w:hint="eastAsia" w:ascii="宋体" w:hAnsi="宋体" w:eastAsia="宋体" w:cs="宋体"/>
            </w:rPr>
            <w:fldChar w:fldCharType="begin"/>
          </w:r>
          <w:r>
            <w:rPr>
              <w:rFonts w:hint="eastAsia" w:ascii="宋体" w:hAnsi="宋体" w:eastAsia="宋体" w:cs="宋体"/>
            </w:rPr>
            <w:instrText xml:space="preserve"> PAGEREF _Toc18933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3C38A083">
          <w:pPr>
            <w:pStyle w:val="7"/>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_Toc3348 </w:instrText>
          </w:r>
          <w:r>
            <w:rPr>
              <w:rFonts w:hint="eastAsia" w:ascii="Times New Roman" w:hAnsi="Times New Roman" w:eastAsia="仿宋_GB2312" w:cs="Times New Roman"/>
              <w:bCs w:val="0"/>
              <w:kern w:val="44"/>
              <w:szCs w:val="44"/>
            </w:rPr>
            <w:fldChar w:fldCharType="separate"/>
          </w:r>
          <w:r>
            <w:rPr>
              <w:rFonts w:hint="eastAsia"/>
              <w:szCs w:val="30"/>
            </w:rPr>
            <w:t>（二）绩效评价依据</w:t>
          </w:r>
          <w:r>
            <w:tab/>
          </w:r>
          <w:r>
            <w:rPr>
              <w:rFonts w:hint="eastAsia" w:ascii="宋体" w:hAnsi="宋体" w:eastAsia="宋体" w:cs="宋体"/>
            </w:rPr>
            <w:fldChar w:fldCharType="begin"/>
          </w:r>
          <w:r>
            <w:rPr>
              <w:rFonts w:hint="eastAsia" w:ascii="宋体" w:hAnsi="宋体" w:eastAsia="宋体" w:cs="宋体"/>
            </w:rPr>
            <w:instrText xml:space="preserve"> PAGEREF _Toc3348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6C3A5426">
          <w:pPr>
            <w:pStyle w:val="7"/>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_Toc6353 </w:instrText>
          </w:r>
          <w:r>
            <w:rPr>
              <w:rFonts w:hint="eastAsia" w:ascii="Times New Roman" w:hAnsi="Times New Roman" w:eastAsia="仿宋_GB2312" w:cs="Times New Roman"/>
              <w:bCs w:val="0"/>
              <w:kern w:val="44"/>
              <w:szCs w:val="44"/>
            </w:rPr>
            <w:fldChar w:fldCharType="separate"/>
          </w:r>
          <w:r>
            <w:rPr>
              <w:rFonts w:hint="eastAsia"/>
              <w:szCs w:val="30"/>
            </w:rPr>
            <w:t>（三）绩效评价方式方法</w:t>
          </w:r>
          <w:r>
            <w:tab/>
          </w:r>
          <w:r>
            <w:rPr>
              <w:rFonts w:hint="eastAsia" w:ascii="宋体" w:hAnsi="宋体" w:eastAsia="宋体" w:cs="宋体"/>
            </w:rPr>
            <w:fldChar w:fldCharType="begin"/>
          </w:r>
          <w:r>
            <w:rPr>
              <w:rFonts w:hint="eastAsia" w:ascii="宋体" w:hAnsi="宋体" w:eastAsia="宋体" w:cs="宋体"/>
            </w:rPr>
            <w:instrText xml:space="preserve"> PAGEREF _Toc6353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7329E8BF">
          <w:pPr>
            <w:pStyle w:val="7"/>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_Toc22784 </w:instrText>
          </w:r>
          <w:r>
            <w:rPr>
              <w:rFonts w:hint="eastAsia" w:ascii="Times New Roman" w:hAnsi="Times New Roman" w:eastAsia="仿宋_GB2312" w:cs="Times New Roman"/>
              <w:bCs w:val="0"/>
              <w:kern w:val="44"/>
              <w:szCs w:val="44"/>
            </w:rPr>
            <w:fldChar w:fldCharType="separate"/>
          </w:r>
          <w:r>
            <w:rPr>
              <w:rFonts w:hint="eastAsia"/>
              <w:szCs w:val="30"/>
            </w:rPr>
            <w:t>（四）评价指标体系</w:t>
          </w:r>
          <w:r>
            <w:tab/>
          </w:r>
          <w:r>
            <w:rPr>
              <w:rFonts w:hint="eastAsia" w:ascii="宋体" w:hAnsi="宋体" w:eastAsia="宋体" w:cs="宋体"/>
            </w:rPr>
            <w:fldChar w:fldCharType="begin"/>
          </w:r>
          <w:r>
            <w:rPr>
              <w:rFonts w:hint="eastAsia" w:ascii="宋体" w:hAnsi="宋体" w:eastAsia="宋体" w:cs="宋体"/>
            </w:rPr>
            <w:instrText xml:space="preserve"> PAGEREF _Toc22784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4C26E6E3">
          <w:pPr>
            <w:pStyle w:val="7"/>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_Toc1587 </w:instrText>
          </w:r>
          <w:r>
            <w:rPr>
              <w:rFonts w:hint="eastAsia" w:ascii="Times New Roman" w:hAnsi="Times New Roman" w:eastAsia="仿宋_GB2312" w:cs="Times New Roman"/>
              <w:bCs w:val="0"/>
              <w:kern w:val="44"/>
              <w:szCs w:val="44"/>
            </w:rPr>
            <w:fldChar w:fldCharType="separate"/>
          </w:r>
          <w:r>
            <w:rPr>
              <w:rFonts w:hint="eastAsia"/>
              <w:szCs w:val="30"/>
            </w:rPr>
            <w:t>（五）评价重点内容</w:t>
          </w:r>
          <w:r>
            <w:tab/>
          </w:r>
          <w:r>
            <w:rPr>
              <w:rFonts w:hint="eastAsia" w:ascii="宋体" w:hAnsi="宋体" w:eastAsia="宋体" w:cs="宋体"/>
            </w:rPr>
            <w:fldChar w:fldCharType="begin"/>
          </w:r>
          <w:r>
            <w:rPr>
              <w:rFonts w:hint="eastAsia" w:ascii="宋体" w:hAnsi="宋体" w:eastAsia="宋体" w:cs="宋体"/>
            </w:rPr>
            <w:instrText xml:space="preserve"> PAGEREF _Toc1587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4EE54B8F">
          <w:pPr>
            <w:pStyle w:val="7"/>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_Toc11656 </w:instrText>
          </w:r>
          <w:r>
            <w:rPr>
              <w:rFonts w:hint="eastAsia" w:ascii="Times New Roman" w:hAnsi="Times New Roman" w:eastAsia="仿宋_GB2312" w:cs="Times New Roman"/>
              <w:bCs w:val="0"/>
              <w:kern w:val="44"/>
              <w:szCs w:val="44"/>
            </w:rPr>
            <w:fldChar w:fldCharType="separate"/>
          </w:r>
          <w:r>
            <w:rPr>
              <w:rFonts w:hint="eastAsia" w:ascii="黑体" w:hAnsi="黑体" w:eastAsia="黑体"/>
              <w:szCs w:val="32"/>
            </w:rPr>
            <w:t>三、绩效评价情况分析</w:t>
          </w:r>
          <w:r>
            <w:tab/>
          </w:r>
          <w:r>
            <w:rPr>
              <w:rFonts w:hint="eastAsia" w:ascii="宋体" w:hAnsi="宋体" w:eastAsia="宋体" w:cs="宋体"/>
            </w:rPr>
            <w:fldChar w:fldCharType="begin"/>
          </w:r>
          <w:r>
            <w:rPr>
              <w:rFonts w:hint="eastAsia" w:ascii="宋体" w:hAnsi="宋体" w:eastAsia="宋体" w:cs="宋体"/>
            </w:rPr>
            <w:instrText xml:space="preserve"> PAGEREF _Toc11656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76D48F7B">
          <w:pPr>
            <w:pStyle w:val="9"/>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_Toc556 </w:instrText>
          </w:r>
          <w:r>
            <w:rPr>
              <w:rFonts w:hint="eastAsia" w:ascii="Times New Roman" w:hAnsi="Times New Roman" w:eastAsia="仿宋_GB2312" w:cs="Times New Roman"/>
              <w:bCs w:val="0"/>
              <w:kern w:val="44"/>
              <w:szCs w:val="44"/>
            </w:rPr>
            <w:fldChar w:fldCharType="separate"/>
          </w:r>
          <w:r>
            <w:rPr>
              <w:rFonts w:ascii="仿宋_GB2312"/>
              <w:kern w:val="0"/>
              <w:szCs w:val="30"/>
            </w:rPr>
            <w:t>（一）</w:t>
          </w:r>
          <w:r>
            <w:rPr>
              <w:rFonts w:hint="eastAsia" w:ascii="仿宋_GB2312"/>
              <w:kern w:val="0"/>
              <w:szCs w:val="30"/>
            </w:rPr>
            <w:t>目标设定</w:t>
          </w:r>
          <w:r>
            <w:tab/>
          </w:r>
          <w:r>
            <w:rPr>
              <w:rFonts w:hint="eastAsia" w:ascii="宋体" w:hAnsi="宋体" w:eastAsia="宋体" w:cs="宋体"/>
            </w:rPr>
            <w:fldChar w:fldCharType="begin"/>
          </w:r>
          <w:r>
            <w:rPr>
              <w:rFonts w:hint="eastAsia" w:ascii="宋体" w:hAnsi="宋体" w:eastAsia="宋体" w:cs="宋体"/>
            </w:rPr>
            <w:instrText xml:space="preserve"> PAGEREF _Toc556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344E06A5">
          <w:pPr>
            <w:pStyle w:val="9"/>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_Toc24073 </w:instrText>
          </w:r>
          <w:r>
            <w:rPr>
              <w:rFonts w:hint="eastAsia" w:ascii="Times New Roman" w:hAnsi="Times New Roman" w:eastAsia="仿宋_GB2312" w:cs="Times New Roman"/>
              <w:bCs w:val="0"/>
              <w:kern w:val="44"/>
              <w:szCs w:val="44"/>
            </w:rPr>
            <w:fldChar w:fldCharType="separate"/>
          </w:r>
          <w:r>
            <w:rPr>
              <w:rFonts w:hint="eastAsia" w:ascii="仿宋_GB2312"/>
              <w:kern w:val="0"/>
              <w:szCs w:val="30"/>
            </w:rPr>
            <w:t>（二）预算配置</w:t>
          </w:r>
          <w:r>
            <w:tab/>
          </w:r>
          <w:r>
            <w:rPr>
              <w:rFonts w:hint="eastAsia" w:ascii="宋体" w:hAnsi="宋体" w:eastAsia="宋体" w:cs="宋体"/>
            </w:rPr>
            <w:fldChar w:fldCharType="begin"/>
          </w:r>
          <w:r>
            <w:rPr>
              <w:rFonts w:hint="eastAsia" w:ascii="宋体" w:hAnsi="宋体" w:eastAsia="宋体" w:cs="宋体"/>
            </w:rPr>
            <w:instrText xml:space="preserve"> PAGEREF _Toc24073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7F1E0D09">
          <w:pPr>
            <w:pStyle w:val="9"/>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_Toc20488 </w:instrText>
          </w:r>
          <w:r>
            <w:rPr>
              <w:rFonts w:hint="eastAsia" w:ascii="Times New Roman" w:hAnsi="Times New Roman" w:eastAsia="仿宋_GB2312" w:cs="Times New Roman"/>
              <w:bCs w:val="0"/>
              <w:kern w:val="44"/>
              <w:szCs w:val="44"/>
            </w:rPr>
            <w:fldChar w:fldCharType="separate"/>
          </w:r>
          <w:r>
            <w:rPr>
              <w:rFonts w:hint="eastAsia" w:ascii="仿宋_GB2312"/>
              <w:kern w:val="0"/>
              <w:szCs w:val="30"/>
            </w:rPr>
            <w:t>（三）预算执行</w:t>
          </w:r>
          <w:r>
            <w:tab/>
          </w:r>
          <w:r>
            <w:rPr>
              <w:rFonts w:hint="eastAsia" w:ascii="宋体" w:hAnsi="宋体" w:eastAsia="宋体" w:cs="宋体"/>
            </w:rPr>
            <w:fldChar w:fldCharType="begin"/>
          </w:r>
          <w:r>
            <w:rPr>
              <w:rFonts w:hint="eastAsia" w:ascii="宋体" w:hAnsi="宋体" w:eastAsia="宋体" w:cs="宋体"/>
            </w:rPr>
            <w:instrText xml:space="preserve"> PAGEREF _Toc20488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15D46817">
          <w:pPr>
            <w:pStyle w:val="9"/>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_Toc28786 </w:instrText>
          </w:r>
          <w:r>
            <w:rPr>
              <w:rFonts w:hint="eastAsia" w:ascii="Times New Roman" w:hAnsi="Times New Roman" w:eastAsia="仿宋_GB2312" w:cs="Times New Roman"/>
              <w:bCs w:val="0"/>
              <w:kern w:val="44"/>
              <w:szCs w:val="44"/>
            </w:rPr>
            <w:fldChar w:fldCharType="separate"/>
          </w:r>
          <w:r>
            <w:rPr>
              <w:rFonts w:hint="eastAsia" w:ascii="仿宋_GB2312"/>
              <w:kern w:val="0"/>
              <w:szCs w:val="30"/>
            </w:rPr>
            <w:t>（四）财务管理</w:t>
          </w:r>
          <w:r>
            <w:tab/>
          </w:r>
          <w:r>
            <w:rPr>
              <w:rFonts w:hint="eastAsia" w:ascii="宋体" w:hAnsi="宋体" w:eastAsia="宋体" w:cs="宋体"/>
            </w:rPr>
            <w:fldChar w:fldCharType="begin"/>
          </w:r>
          <w:r>
            <w:rPr>
              <w:rFonts w:hint="eastAsia" w:ascii="宋体" w:hAnsi="宋体" w:eastAsia="宋体" w:cs="宋体"/>
            </w:rPr>
            <w:instrText xml:space="preserve"> PAGEREF _Toc28786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6908A26C">
          <w:pPr>
            <w:pStyle w:val="9"/>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_Toc22125 </w:instrText>
          </w:r>
          <w:r>
            <w:rPr>
              <w:rFonts w:hint="eastAsia" w:ascii="Times New Roman" w:hAnsi="Times New Roman" w:eastAsia="仿宋_GB2312" w:cs="Times New Roman"/>
              <w:bCs w:val="0"/>
              <w:kern w:val="44"/>
              <w:szCs w:val="44"/>
            </w:rPr>
            <w:fldChar w:fldCharType="separate"/>
          </w:r>
          <w:r>
            <w:rPr>
              <w:rFonts w:hint="eastAsia" w:ascii="仿宋_GB2312"/>
              <w:kern w:val="0"/>
              <w:szCs w:val="30"/>
            </w:rPr>
            <w:t>（五）资产管理</w:t>
          </w:r>
          <w:r>
            <w:tab/>
          </w:r>
          <w:r>
            <w:rPr>
              <w:rFonts w:hint="eastAsia" w:ascii="宋体" w:hAnsi="宋体" w:eastAsia="宋体" w:cs="宋体"/>
            </w:rPr>
            <w:fldChar w:fldCharType="begin"/>
          </w:r>
          <w:r>
            <w:rPr>
              <w:rFonts w:hint="eastAsia" w:ascii="宋体" w:hAnsi="宋体" w:eastAsia="宋体" w:cs="宋体"/>
            </w:rPr>
            <w:instrText xml:space="preserve"> PAGEREF _Toc22125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3954B5F3">
          <w:pPr>
            <w:pStyle w:val="9"/>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_Toc3971 </w:instrText>
          </w:r>
          <w:r>
            <w:rPr>
              <w:rFonts w:hint="eastAsia" w:ascii="Times New Roman" w:hAnsi="Times New Roman" w:eastAsia="仿宋_GB2312" w:cs="Times New Roman"/>
              <w:bCs w:val="0"/>
              <w:kern w:val="44"/>
              <w:szCs w:val="44"/>
            </w:rPr>
            <w:fldChar w:fldCharType="separate"/>
          </w:r>
          <w:r>
            <w:rPr>
              <w:rFonts w:hint="eastAsia" w:ascii="仿宋_GB2312"/>
              <w:kern w:val="0"/>
              <w:szCs w:val="30"/>
            </w:rPr>
            <w:t>（六）业务管理</w:t>
          </w:r>
          <w:r>
            <w:tab/>
          </w:r>
          <w:r>
            <w:rPr>
              <w:rFonts w:hint="eastAsia" w:ascii="宋体" w:hAnsi="宋体" w:eastAsia="宋体" w:cs="宋体"/>
            </w:rPr>
            <w:fldChar w:fldCharType="begin"/>
          </w:r>
          <w:r>
            <w:rPr>
              <w:rFonts w:hint="eastAsia" w:ascii="宋体" w:hAnsi="宋体" w:eastAsia="宋体" w:cs="宋体"/>
            </w:rPr>
            <w:instrText xml:space="preserve"> PAGEREF _Toc3971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6F9B85B3">
          <w:pPr>
            <w:pStyle w:val="9"/>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_Toc8479 </w:instrText>
          </w:r>
          <w:r>
            <w:rPr>
              <w:rFonts w:hint="eastAsia" w:ascii="Times New Roman" w:hAnsi="Times New Roman" w:eastAsia="仿宋_GB2312" w:cs="Times New Roman"/>
              <w:bCs w:val="0"/>
              <w:kern w:val="44"/>
              <w:szCs w:val="44"/>
            </w:rPr>
            <w:fldChar w:fldCharType="separate"/>
          </w:r>
          <w:r>
            <w:rPr>
              <w:rFonts w:hint="eastAsia" w:ascii="仿宋_GB2312"/>
              <w:kern w:val="0"/>
              <w:szCs w:val="30"/>
            </w:rPr>
            <w:t>（七）职责履行</w:t>
          </w:r>
          <w:r>
            <w:tab/>
          </w:r>
          <w:r>
            <w:rPr>
              <w:rFonts w:hint="eastAsia" w:ascii="宋体" w:hAnsi="宋体" w:eastAsia="宋体" w:cs="宋体"/>
            </w:rPr>
            <w:fldChar w:fldCharType="begin"/>
          </w:r>
          <w:r>
            <w:rPr>
              <w:rFonts w:hint="eastAsia" w:ascii="宋体" w:hAnsi="宋体" w:eastAsia="宋体" w:cs="宋体"/>
            </w:rPr>
            <w:instrText xml:space="preserve"> PAGEREF _Toc8479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46373C16">
          <w:pPr>
            <w:pStyle w:val="8"/>
            <w:keepNext w:val="0"/>
            <w:keepLines w:val="0"/>
            <w:pageBreakBefore w:val="0"/>
            <w:widowControl w:val="0"/>
            <w:tabs>
              <w:tab w:val="right" w:leader="dot" w:pos="8786"/>
            </w:tabs>
            <w:kinsoku/>
            <w:wordWrap/>
            <w:overflowPunct/>
            <w:topLinePunct w:val="0"/>
            <w:autoSpaceDE/>
            <w:autoSpaceDN/>
            <w:bidi w:val="0"/>
            <w:adjustRightInd/>
            <w:snapToGrid/>
            <w:spacing w:line="480" w:lineRule="exact"/>
            <w:ind w:left="0" w:leftChars="0" w:firstLine="0" w:firstLineChars="0"/>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_Toc31718 </w:instrText>
          </w:r>
          <w:r>
            <w:rPr>
              <w:rFonts w:hint="eastAsia" w:ascii="Times New Roman" w:hAnsi="Times New Roman" w:eastAsia="仿宋_GB2312" w:cs="Times New Roman"/>
              <w:bCs w:val="0"/>
              <w:kern w:val="44"/>
              <w:szCs w:val="44"/>
            </w:rPr>
            <w:fldChar w:fldCharType="separate"/>
          </w:r>
          <w:r>
            <w:rPr>
              <w:rFonts w:hint="eastAsia" w:ascii="仿宋_GB2312" w:hAnsi="Times New Roman" w:eastAsia="仿宋_GB2312"/>
              <w:bCs w:val="0"/>
              <w:kern w:val="0"/>
              <w:szCs w:val="30"/>
            </w:rPr>
            <w:t>（八）履职效益</w:t>
          </w:r>
          <w:r>
            <w:tab/>
          </w:r>
          <w:r>
            <w:rPr>
              <w:rFonts w:hint="eastAsia" w:ascii="宋体" w:hAnsi="宋体" w:eastAsia="宋体" w:cs="宋体"/>
            </w:rPr>
            <w:fldChar w:fldCharType="begin"/>
          </w:r>
          <w:r>
            <w:rPr>
              <w:rFonts w:hint="eastAsia" w:ascii="宋体" w:hAnsi="宋体" w:eastAsia="宋体" w:cs="宋体"/>
            </w:rPr>
            <w:instrText xml:space="preserve"> PAGEREF _Toc31718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78012669">
          <w:pPr>
            <w:pStyle w:val="7"/>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_Toc8192 </w:instrText>
          </w:r>
          <w:r>
            <w:rPr>
              <w:rFonts w:hint="eastAsia" w:ascii="Times New Roman" w:hAnsi="Times New Roman" w:eastAsia="仿宋_GB2312" w:cs="Times New Roman"/>
              <w:bCs w:val="0"/>
              <w:kern w:val="44"/>
              <w:szCs w:val="44"/>
            </w:rPr>
            <w:fldChar w:fldCharType="separate"/>
          </w:r>
          <w:r>
            <w:rPr>
              <w:rFonts w:hint="eastAsia" w:ascii="黑体" w:hAnsi="黑体" w:eastAsia="黑体"/>
              <w:szCs w:val="32"/>
            </w:rPr>
            <w:t>四、绩效评价总体结论</w:t>
          </w:r>
          <w:r>
            <w:tab/>
          </w:r>
          <w:r>
            <w:rPr>
              <w:rFonts w:hint="eastAsia" w:ascii="宋体" w:hAnsi="宋体" w:eastAsia="宋体" w:cs="宋体"/>
            </w:rPr>
            <w:fldChar w:fldCharType="begin"/>
          </w:r>
          <w:r>
            <w:rPr>
              <w:rFonts w:hint="eastAsia" w:ascii="宋体" w:hAnsi="宋体" w:eastAsia="宋体" w:cs="宋体"/>
            </w:rPr>
            <w:instrText xml:space="preserve"> PAGEREF _Toc8192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337EBD38">
          <w:pPr>
            <w:pStyle w:val="7"/>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_Toc8696 </w:instrText>
          </w:r>
          <w:r>
            <w:rPr>
              <w:rFonts w:hint="eastAsia" w:ascii="Times New Roman" w:hAnsi="Times New Roman" w:eastAsia="仿宋_GB2312" w:cs="Times New Roman"/>
              <w:bCs w:val="0"/>
              <w:kern w:val="44"/>
              <w:szCs w:val="44"/>
            </w:rPr>
            <w:fldChar w:fldCharType="separate"/>
          </w:r>
          <w:r>
            <w:rPr>
              <w:rFonts w:hint="eastAsia" w:ascii="黑体" w:hAnsi="黑体" w:eastAsia="黑体"/>
              <w:szCs w:val="32"/>
            </w:rPr>
            <w:t>五、值得关注的问题</w:t>
          </w:r>
          <w:r>
            <w:tab/>
          </w:r>
          <w:r>
            <w:rPr>
              <w:rFonts w:hint="eastAsia" w:ascii="宋体" w:hAnsi="宋体" w:eastAsia="宋体" w:cs="宋体"/>
            </w:rPr>
            <w:fldChar w:fldCharType="begin"/>
          </w:r>
          <w:r>
            <w:rPr>
              <w:rFonts w:hint="eastAsia" w:ascii="宋体" w:hAnsi="宋体" w:eastAsia="宋体" w:cs="宋体"/>
            </w:rPr>
            <w:instrText xml:space="preserve"> PAGEREF _Toc8696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2BB92F5B">
          <w:pPr>
            <w:pStyle w:val="7"/>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_Toc22632 </w:instrText>
          </w:r>
          <w:r>
            <w:rPr>
              <w:rFonts w:hint="eastAsia" w:ascii="Times New Roman" w:hAnsi="Times New Roman" w:eastAsia="仿宋_GB2312" w:cs="Times New Roman"/>
              <w:bCs w:val="0"/>
              <w:kern w:val="44"/>
              <w:szCs w:val="44"/>
            </w:rPr>
            <w:fldChar w:fldCharType="separate"/>
          </w:r>
          <w:r>
            <w:rPr>
              <w:rFonts w:hint="eastAsia" w:ascii="黑体" w:hAnsi="黑体" w:eastAsia="黑体"/>
              <w:szCs w:val="32"/>
            </w:rPr>
            <w:t>六、主要建议</w:t>
          </w:r>
          <w:r>
            <w:tab/>
          </w:r>
          <w:r>
            <w:rPr>
              <w:rFonts w:hint="eastAsia" w:ascii="宋体" w:hAnsi="宋体" w:eastAsia="宋体" w:cs="宋体"/>
            </w:rPr>
            <w:fldChar w:fldCharType="begin"/>
          </w:r>
          <w:r>
            <w:rPr>
              <w:rFonts w:hint="eastAsia" w:ascii="宋体" w:hAnsi="宋体" w:eastAsia="宋体" w:cs="宋体"/>
            </w:rPr>
            <w:instrText xml:space="preserve"> PAGEREF _Toc22632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08E6D18E">
          <w:pPr>
            <w:pStyle w:val="7"/>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pPr>
          <w:r>
            <w:rPr>
              <w:rFonts w:hint="eastAsia" w:ascii="Times New Roman" w:hAnsi="Times New Roman" w:eastAsia="仿宋_GB2312" w:cs="Times New Roman"/>
              <w:bCs w:val="0"/>
              <w:color w:val="000000"/>
              <w:kern w:val="44"/>
              <w:szCs w:val="44"/>
            </w:rPr>
            <w:fldChar w:fldCharType="begin"/>
          </w:r>
          <w:r>
            <w:rPr>
              <w:rFonts w:hint="eastAsia" w:ascii="Times New Roman" w:hAnsi="Times New Roman" w:eastAsia="仿宋_GB2312" w:cs="Times New Roman"/>
              <w:bCs w:val="0"/>
              <w:kern w:val="44"/>
              <w:szCs w:val="44"/>
            </w:rPr>
            <w:instrText xml:space="preserve"> HYPERLINK \l _Toc20160 </w:instrText>
          </w:r>
          <w:r>
            <w:rPr>
              <w:rFonts w:hint="eastAsia" w:ascii="Times New Roman" w:hAnsi="Times New Roman" w:eastAsia="仿宋_GB2312" w:cs="Times New Roman"/>
              <w:bCs w:val="0"/>
              <w:kern w:val="44"/>
              <w:szCs w:val="44"/>
            </w:rPr>
            <w:fldChar w:fldCharType="separate"/>
          </w:r>
          <w:r>
            <w:rPr>
              <w:rFonts w:hint="eastAsia" w:ascii="黑体" w:hAnsi="黑体" w:eastAsia="黑体"/>
              <w:szCs w:val="32"/>
            </w:rPr>
            <w:t>附件：</w:t>
          </w:r>
          <w:r>
            <w:tab/>
          </w:r>
          <w:r>
            <w:rPr>
              <w:rFonts w:hint="eastAsia" w:ascii="宋体" w:hAnsi="宋体" w:eastAsia="宋体" w:cs="宋体"/>
            </w:rPr>
            <w:fldChar w:fldCharType="begin"/>
          </w:r>
          <w:r>
            <w:rPr>
              <w:rFonts w:hint="eastAsia" w:ascii="宋体" w:hAnsi="宋体" w:eastAsia="宋体" w:cs="宋体"/>
            </w:rPr>
            <w:instrText xml:space="preserve"> PAGEREF _Toc20160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Times New Roman" w:hAnsi="Times New Roman" w:eastAsia="仿宋_GB2312" w:cs="Times New Roman"/>
              <w:bCs w:val="0"/>
              <w:color w:val="000000"/>
              <w:kern w:val="44"/>
              <w:szCs w:val="44"/>
            </w:rPr>
            <w:fldChar w:fldCharType="end"/>
          </w:r>
        </w:p>
        <w:p w14:paraId="42ECF788">
          <w:pPr>
            <w:pStyle w:val="7"/>
            <w:keepNext w:val="0"/>
            <w:keepLines w:val="0"/>
            <w:pageBreakBefore w:val="0"/>
            <w:widowControl w:val="0"/>
            <w:tabs>
              <w:tab w:val="right" w:leader="dot" w:pos="8786"/>
              <w:tab w:val="clear" w:pos="8850"/>
            </w:tabs>
            <w:kinsoku/>
            <w:wordWrap/>
            <w:overflowPunct/>
            <w:topLinePunct w:val="0"/>
            <w:autoSpaceDE/>
            <w:autoSpaceDN/>
            <w:bidi w:val="0"/>
            <w:adjustRightInd/>
            <w:snapToGrid/>
            <w:spacing w:line="480" w:lineRule="exact"/>
            <w:textAlignment w:val="auto"/>
            <w:outlineLvl w:val="8"/>
          </w:pPr>
          <w:r>
            <w:rPr>
              <w:rFonts w:hint="eastAsia" w:ascii="Times New Roman" w:hAnsi="Times New Roman" w:eastAsia="仿宋_GB2312" w:cs="Times New Roman"/>
              <w:bCs w:val="0"/>
              <w:color w:val="000000"/>
              <w:kern w:val="44"/>
              <w:szCs w:val="44"/>
            </w:rPr>
            <w:fldChar w:fldCharType="end"/>
          </w:r>
        </w:p>
      </w:sdtContent>
    </w:sdt>
    <w:p w14:paraId="1520E35D">
      <w:pPr>
        <w:spacing w:before="120" w:beforeLines="50" w:after="120" w:afterLines="50" w:line="360" w:lineRule="auto"/>
        <w:jc w:val="center"/>
        <w:outlineLvl w:val="0"/>
        <w:rPr>
          <w:sz w:val="44"/>
          <w:szCs w:val="44"/>
        </w:rPr>
        <w:sectPr>
          <w:footerReference r:id="rId5" w:type="first"/>
          <w:headerReference r:id="rId3" w:type="default"/>
          <w:footerReference r:id="rId4" w:type="default"/>
          <w:footnotePr>
            <w:numFmt w:val="decimalEnclosedCircleChinese"/>
          </w:footnotePr>
          <w:pgSz w:w="11906" w:h="16838"/>
          <w:pgMar w:top="1418" w:right="1418" w:bottom="1418" w:left="1418" w:header="1021" w:footer="1021" w:gutter="284"/>
          <w:pgNumType w:start="1"/>
          <w:cols w:space="720" w:num="1"/>
          <w:docGrid w:linePitch="312" w:charSpace="0"/>
        </w:sectPr>
      </w:pPr>
      <w:bookmarkStart w:id="7" w:name="_Toc21465"/>
      <w:bookmarkStart w:id="8" w:name="_Toc25184"/>
      <w:bookmarkStart w:id="9" w:name="_Toc208"/>
    </w:p>
    <w:p w14:paraId="4F7CF4C4">
      <w:pPr>
        <w:spacing w:line="510" w:lineRule="exact"/>
        <w:jc w:val="center"/>
        <w:rPr>
          <w:rFonts w:hint="eastAsia" w:ascii="仿宋" w:hAnsi="仿宋" w:eastAsia="仿宋" w:cs="仿宋"/>
          <w:b/>
          <w:bCs/>
          <w:spacing w:val="-20"/>
          <w:sz w:val="36"/>
          <w:szCs w:val="36"/>
        </w:rPr>
      </w:pPr>
    </w:p>
    <w:p w14:paraId="425BE717">
      <w:pPr>
        <w:spacing w:line="510" w:lineRule="exact"/>
        <w:jc w:val="center"/>
        <w:rPr>
          <w:rFonts w:hint="eastAsia" w:ascii="仿宋" w:hAnsi="仿宋" w:eastAsia="仿宋" w:cs="仿宋"/>
          <w:b/>
          <w:bCs/>
          <w:spacing w:val="-20"/>
          <w:sz w:val="36"/>
          <w:szCs w:val="36"/>
        </w:rPr>
      </w:pPr>
      <w:r>
        <w:rPr>
          <w:rFonts w:hint="eastAsia" w:ascii="仿宋" w:hAnsi="仿宋" w:eastAsia="仿宋" w:cs="仿宋"/>
          <w:b/>
          <w:bCs/>
          <w:spacing w:val="-20"/>
          <w:sz w:val="36"/>
          <w:szCs w:val="36"/>
        </w:rPr>
        <w:t>巫溪县房屋管理服务中心2019年度部门整体支出</w:t>
      </w:r>
      <w:bookmarkEnd w:id="7"/>
      <w:bookmarkEnd w:id="8"/>
      <w:bookmarkEnd w:id="9"/>
    </w:p>
    <w:p w14:paraId="463042BB">
      <w:pPr>
        <w:spacing w:before="120" w:beforeLines="50" w:after="120" w:afterLines="50"/>
        <w:jc w:val="center"/>
        <w:rPr>
          <w:rFonts w:hint="eastAsia" w:ascii="仿宋" w:hAnsi="仿宋" w:eastAsia="仿宋" w:cs="仿宋"/>
          <w:b/>
          <w:spacing w:val="-10"/>
          <w:sz w:val="48"/>
          <w:szCs w:val="48"/>
        </w:rPr>
      </w:pPr>
      <w:bookmarkStart w:id="10" w:name="_Toc11706"/>
      <w:bookmarkStart w:id="11" w:name="_Toc11643"/>
      <w:bookmarkStart w:id="12" w:name="_Toc18701"/>
      <w:r>
        <w:rPr>
          <w:rFonts w:hint="eastAsia" w:ascii="仿宋" w:hAnsi="仿宋" w:eastAsia="仿宋" w:cs="仿宋"/>
          <w:b/>
          <w:spacing w:val="-10"/>
          <w:sz w:val="48"/>
          <w:szCs w:val="48"/>
        </w:rPr>
        <w:t>绩 效 评 价 报 告</w:t>
      </w:r>
      <w:bookmarkEnd w:id="10"/>
      <w:bookmarkEnd w:id="11"/>
      <w:bookmarkEnd w:id="12"/>
    </w:p>
    <w:p w14:paraId="7FD80F90">
      <w:pPr>
        <w:pStyle w:val="4"/>
        <w:keepNext w:val="0"/>
        <w:keepLines w:val="0"/>
        <w:pageBreakBefore w:val="0"/>
        <w:widowControl w:val="0"/>
        <w:kinsoku/>
        <w:wordWrap/>
        <w:overflowPunct/>
        <w:topLinePunct w:val="0"/>
        <w:autoSpaceDE/>
        <w:autoSpaceDN/>
        <w:bidi w:val="0"/>
        <w:adjustRightInd/>
        <w:snapToGrid/>
        <w:spacing w:before="120" w:after="120"/>
        <w:jc w:val="center"/>
        <w:textAlignment w:val="auto"/>
        <w:rPr>
          <w:rFonts w:ascii="仿宋" w:hAnsi="仿宋" w:eastAsia="仿宋"/>
          <w:b/>
          <w:sz w:val="28"/>
          <w:szCs w:val="28"/>
        </w:rPr>
      </w:pPr>
      <w:r>
        <w:rPr>
          <w:rFonts w:hint="eastAsia" w:ascii="仿宋" w:hAnsi="仿宋" w:eastAsia="仿宋"/>
          <w:b/>
          <w:sz w:val="28"/>
          <w:szCs w:val="28"/>
        </w:rPr>
        <w:t>重通会所咨〔2020〕</w:t>
      </w:r>
      <w:r>
        <w:rPr>
          <w:rFonts w:hint="eastAsia" w:ascii="仿宋" w:hAnsi="仿宋" w:eastAsia="仿宋"/>
          <w:b/>
          <w:sz w:val="28"/>
          <w:szCs w:val="28"/>
          <w:lang w:val="en-US" w:eastAsia="zh-CN"/>
        </w:rPr>
        <w:t>078</w:t>
      </w:r>
      <w:r>
        <w:rPr>
          <w:rFonts w:hint="eastAsia" w:ascii="仿宋" w:hAnsi="仿宋" w:eastAsia="仿宋"/>
          <w:b/>
          <w:sz w:val="28"/>
          <w:szCs w:val="28"/>
        </w:rPr>
        <w:t>号</w:t>
      </w:r>
    </w:p>
    <w:p w14:paraId="60AD7BD3">
      <w:pPr>
        <w:keepNext w:val="0"/>
        <w:keepLines w:val="0"/>
        <w:pageBreakBefore w:val="0"/>
        <w:widowControl w:val="0"/>
        <w:kinsoku/>
        <w:wordWrap/>
        <w:overflowPunct/>
        <w:topLinePunct w:val="0"/>
        <w:autoSpaceDE/>
        <w:autoSpaceDN/>
        <w:bidi w:val="0"/>
        <w:adjustRightInd/>
        <w:snapToGrid/>
        <w:spacing w:before="120" w:after="120" w:line="590" w:lineRule="exact"/>
        <w:ind w:firstLine="600" w:firstLineChars="200"/>
        <w:textAlignment w:val="auto"/>
        <w:rPr>
          <w:rFonts w:ascii="仿宋_GB2312" w:hAnsi="宋体"/>
          <w:szCs w:val="30"/>
        </w:rPr>
      </w:pPr>
      <w:r>
        <w:rPr>
          <w:rFonts w:hint="eastAsia" w:ascii="仿宋" w:hAnsi="仿宋" w:eastAsia="仿宋" w:cs="Times New Roman"/>
          <w:kern w:val="2"/>
          <w:sz w:val="30"/>
          <w:szCs w:val="30"/>
          <w:lang w:val="en-US" w:eastAsia="zh-CN" w:bidi="ar-SA"/>
        </w:rPr>
        <w:t>为加强财政资金管理，提高资金使用效益，根据《中共中央国务院关于全面实施预算绩效管理的意见》（中发〔2018〕34号）、《中共巫溪县委巫溪县人民政府关于全面实施预算绩效管理的实施意见》（巫溪委发〔2019〕27号）精神，重庆市巫溪县财政</w:t>
      </w:r>
      <w:r>
        <w:rPr>
          <w:rFonts w:hint="eastAsia" w:ascii="仿宋_GB2312" w:hAnsi="宋体"/>
          <w:szCs w:val="30"/>
        </w:rPr>
        <w:t>局（以下简称“县财政局”）为保障2019年重点项目和部门整体支出绩效评价工作的顺利开展，委托重庆通冠会计师事务所组织成立了绩效评价工作组，对巫溪县房屋管理服务中心（以下</w:t>
      </w:r>
      <w:r>
        <w:rPr>
          <w:rFonts w:hint="eastAsia" w:ascii="仿宋_GB2312" w:hAnsi="宋体"/>
          <w:szCs w:val="30"/>
          <w:lang w:eastAsia="zh-CN"/>
        </w:rPr>
        <w:t>简</w:t>
      </w:r>
      <w:r>
        <w:rPr>
          <w:rFonts w:hint="eastAsia" w:ascii="仿宋_GB2312" w:hAnsi="宋体"/>
          <w:szCs w:val="30"/>
        </w:rPr>
        <w:t>称“县房管中心”）2019年度部门整体支出进行绩效评价，现将评价情况报告如下：</w:t>
      </w:r>
    </w:p>
    <w:p w14:paraId="358D815B">
      <w:pPr>
        <w:keepNext w:val="0"/>
        <w:keepLines w:val="0"/>
        <w:pageBreakBefore w:val="0"/>
        <w:widowControl w:val="0"/>
        <w:numPr>
          <w:ilvl w:val="255"/>
          <w:numId w:val="0"/>
        </w:numPr>
        <w:kinsoku/>
        <w:wordWrap/>
        <w:overflowPunct/>
        <w:topLinePunct w:val="0"/>
        <w:autoSpaceDE/>
        <w:autoSpaceDN/>
        <w:bidi w:val="0"/>
        <w:adjustRightInd/>
        <w:snapToGrid/>
        <w:spacing w:before="120" w:beforeLines="50" w:after="120" w:afterLines="50" w:line="360" w:lineRule="auto"/>
        <w:ind w:firstLine="643" w:firstLineChars="200"/>
        <w:textAlignment w:val="auto"/>
        <w:outlineLvl w:val="0"/>
        <w:rPr>
          <w:rFonts w:ascii="黑体" w:hAnsi="黑体" w:eastAsia="黑体"/>
          <w:b/>
          <w:sz w:val="32"/>
          <w:szCs w:val="32"/>
        </w:rPr>
      </w:pPr>
      <w:bookmarkStart w:id="13" w:name="_Toc3032"/>
      <w:bookmarkStart w:id="14" w:name="_Toc4949"/>
      <w:bookmarkStart w:id="15" w:name="_Toc12759"/>
      <w:r>
        <w:rPr>
          <w:rFonts w:hint="eastAsia" w:ascii="黑体" w:hAnsi="黑体" w:eastAsia="黑体"/>
          <w:b/>
          <w:sz w:val="32"/>
          <w:szCs w:val="32"/>
        </w:rPr>
        <w:t>一、部门基本情况</w:t>
      </w:r>
      <w:bookmarkEnd w:id="13"/>
      <w:bookmarkEnd w:id="14"/>
      <w:bookmarkEnd w:id="15"/>
    </w:p>
    <w:p w14:paraId="35841C1F">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562" w:firstLineChars="200"/>
        <w:textAlignment w:val="auto"/>
        <w:outlineLvl w:val="1"/>
        <w:rPr>
          <w:rFonts w:ascii="仿宋_GB2312" w:hAnsi="仿宋_GB2312"/>
          <w:b/>
          <w:bCs/>
          <w:spacing w:val="-10"/>
          <w:szCs w:val="30"/>
          <w:highlight w:val="yellow"/>
        </w:rPr>
      </w:pPr>
      <w:bookmarkStart w:id="16" w:name="_Toc7017"/>
      <w:bookmarkStart w:id="17" w:name="_Toc28377"/>
      <w:bookmarkStart w:id="18" w:name="_Toc22843"/>
      <w:r>
        <w:rPr>
          <w:rFonts w:hint="eastAsia" w:ascii="仿宋_GB2312" w:hAnsi="仿宋_GB2312"/>
          <w:b/>
          <w:bCs/>
          <w:spacing w:val="-10"/>
          <w:szCs w:val="30"/>
        </w:rPr>
        <w:t>（一）部门概况</w:t>
      </w:r>
      <w:bookmarkEnd w:id="16"/>
      <w:bookmarkEnd w:id="17"/>
      <w:bookmarkEnd w:id="18"/>
      <w:r>
        <w:rPr>
          <w:rFonts w:hint="eastAsia" w:ascii="仿宋_GB2312" w:hAnsi="仿宋_GB2312"/>
          <w:b/>
          <w:bCs/>
          <w:spacing w:val="-10"/>
          <w:szCs w:val="30"/>
        </w:rPr>
        <w:t xml:space="preserve"> </w:t>
      </w:r>
    </w:p>
    <w:p w14:paraId="5A20A580">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县房管中心为公益类正科级自收自支事业单位</w:t>
      </w:r>
      <w:r>
        <w:rPr>
          <w:rFonts w:hint="eastAsia" w:ascii="仿宋_GB2312" w:hAnsi="宋体"/>
          <w:szCs w:val="30"/>
          <w:lang w:eastAsia="zh-CN"/>
        </w:rPr>
        <w:t>。其职能职责是：</w:t>
      </w:r>
      <w:r>
        <w:rPr>
          <w:rFonts w:hint="eastAsia" w:ascii="仿宋_GB2312" w:hAnsi="宋体"/>
          <w:szCs w:val="30"/>
        </w:rPr>
        <w:t>负责对辖区内各房地产开发项目的市场交易行为实施日常监管和检查；交易合同备案登记；房地产纠纷调</w:t>
      </w:r>
      <w:r>
        <w:rPr>
          <w:rFonts w:ascii="仿宋_GB2312" w:hAnsi="宋体"/>
          <w:szCs w:val="30"/>
        </w:rPr>
        <w:t>处</w:t>
      </w:r>
      <w:r>
        <w:rPr>
          <w:rFonts w:hint="eastAsia" w:ascii="仿宋_GB2312" w:hAnsi="宋体"/>
          <w:szCs w:val="30"/>
        </w:rPr>
        <w:t>；对全县商品房预售进行日常监管；对商品房预售进行合同备案登记；研究拟定并组织实施保障性住房的配套办法</w:t>
      </w:r>
      <w:r>
        <w:rPr>
          <w:rFonts w:ascii="仿宋_GB2312" w:hAnsi="宋体"/>
          <w:szCs w:val="30"/>
        </w:rPr>
        <w:t>和</w:t>
      </w:r>
      <w:r>
        <w:rPr>
          <w:rFonts w:hint="eastAsia" w:ascii="仿宋_GB2312" w:hAnsi="宋体"/>
          <w:szCs w:val="30"/>
        </w:rPr>
        <w:t>政策</w:t>
      </w:r>
      <w:r>
        <w:rPr>
          <w:rFonts w:hint="eastAsia" w:ascii="仿宋_GB2312" w:hAnsi="宋体"/>
          <w:szCs w:val="30"/>
          <w:lang w:eastAsia="zh-CN"/>
        </w:rPr>
        <w:t>以及</w:t>
      </w:r>
      <w:r>
        <w:rPr>
          <w:rFonts w:ascii="仿宋_GB2312" w:hAnsi="宋体"/>
          <w:szCs w:val="30"/>
        </w:rPr>
        <w:t>年度计划和发展规划</w:t>
      </w:r>
      <w:r>
        <w:rPr>
          <w:rFonts w:hint="eastAsia" w:ascii="仿宋_GB2312" w:hAnsi="宋体"/>
          <w:szCs w:val="30"/>
        </w:rPr>
        <w:t>；负责廉租住房保障资金的筹措、协调落实</w:t>
      </w:r>
      <w:r>
        <w:rPr>
          <w:rFonts w:ascii="仿宋_GB2312" w:hAnsi="宋体"/>
          <w:szCs w:val="30"/>
        </w:rPr>
        <w:t>并</w:t>
      </w:r>
      <w:r>
        <w:rPr>
          <w:rFonts w:hint="eastAsia" w:ascii="仿宋_GB2312" w:hAnsi="宋体"/>
          <w:szCs w:val="30"/>
        </w:rPr>
        <w:t>加强管理；发放租赁补贴专项补助资金；住房保障审批；负责保障性住房建设项目的筹备、实施和各项日常管理工作；拟定我县的物业管理配套办法和政策；对物业管理工作进行指导和协调；实施物业专项维修资金的收取和管理；实施对物业服务企业的监督管理；贯彻执行国家有关房屋安全法律法规；负责全县城镇房屋安全管理工作，指导各乡镇（街道）、部门对危旧房的安全排查、监管和隐患整治；负责城镇房屋安全鉴定管理工作；对全县各类房屋进行安全技术鉴定并出具鉴定报告；对全县城镇房屋进行白蚁防治管理；实施全县直管公房的管理和维护。目前实际内设机构</w:t>
      </w:r>
      <w:r>
        <w:rPr>
          <w:rFonts w:hint="eastAsia" w:ascii="仿宋_GB2312" w:hAnsi="宋体"/>
          <w:szCs w:val="30"/>
          <w:lang w:eastAsia="zh-CN"/>
        </w:rPr>
        <w:t>有</w:t>
      </w:r>
      <w:r>
        <w:rPr>
          <w:rFonts w:hint="eastAsia" w:ascii="仿宋_GB2312" w:hAnsi="宋体"/>
          <w:szCs w:val="30"/>
        </w:rPr>
        <w:t>办公室、财务科、住房保障科、物业管理科、市场监管科、房屋安全办公室</w:t>
      </w:r>
      <w:r>
        <w:rPr>
          <w:rFonts w:hint="eastAsia" w:ascii="仿宋_GB2312" w:hAnsi="宋体"/>
          <w:szCs w:val="30"/>
          <w:lang w:eastAsia="zh-CN"/>
        </w:rPr>
        <w:t>等</w:t>
      </w:r>
      <w:r>
        <w:rPr>
          <w:rFonts w:hint="eastAsia" w:ascii="仿宋_GB2312" w:hAnsi="宋体"/>
          <w:szCs w:val="30"/>
        </w:rPr>
        <w:t>6个科室。</w:t>
      </w:r>
    </w:p>
    <w:p w14:paraId="4867ACAE">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562" w:firstLineChars="200"/>
        <w:textAlignment w:val="auto"/>
        <w:outlineLvl w:val="1"/>
        <w:rPr>
          <w:rFonts w:hint="eastAsia" w:ascii="仿宋_GB2312" w:hAnsi="仿宋_GB2312"/>
          <w:b/>
          <w:bCs/>
          <w:spacing w:val="-10"/>
          <w:szCs w:val="30"/>
        </w:rPr>
      </w:pPr>
      <w:bookmarkStart w:id="19" w:name="_Toc28948"/>
      <w:bookmarkStart w:id="20" w:name="_Toc31117"/>
      <w:bookmarkStart w:id="21" w:name="_Toc10051"/>
      <w:r>
        <w:rPr>
          <w:rFonts w:hint="eastAsia" w:ascii="仿宋_GB2312" w:hAnsi="仿宋_GB2312"/>
          <w:b/>
          <w:bCs/>
          <w:spacing w:val="-10"/>
          <w:szCs w:val="30"/>
        </w:rPr>
        <w:t>（二）部门资金使用情况</w:t>
      </w:r>
      <w:bookmarkEnd w:id="19"/>
      <w:bookmarkEnd w:id="20"/>
      <w:bookmarkEnd w:id="21"/>
    </w:p>
    <w:p w14:paraId="4733E991">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hint="eastAsia" w:ascii="仿宋_GB2312" w:hAnsi="宋体"/>
          <w:szCs w:val="30"/>
        </w:rPr>
      </w:pPr>
      <w:r>
        <w:rPr>
          <w:rFonts w:hint="eastAsia" w:ascii="仿宋_GB2312" w:hAnsi="宋体"/>
          <w:szCs w:val="30"/>
        </w:rPr>
        <w:t>县房管中心2019年年初预算收入0元，年初财政拨款</w:t>
      </w:r>
      <w:r>
        <w:rPr>
          <w:rFonts w:hint="eastAsia" w:ascii="仿宋_GB2312" w:hAnsi="宋体"/>
          <w:szCs w:val="30"/>
          <w:lang w:eastAsia="zh-CN"/>
        </w:rPr>
        <w:t>结转</w:t>
      </w:r>
      <w:r>
        <w:rPr>
          <w:rFonts w:hint="eastAsia" w:ascii="仿宋_GB2312" w:hAnsi="宋体"/>
          <w:szCs w:val="30"/>
        </w:rPr>
        <w:t>结余1,350,000.00元，累计追加一般公用预算财政拨款预算32,600,000.00元，调整后2019年县房管中心一般公共财政预算收入为33,950,000.00元。2019年度另收到财政拨入未纳入财政预算范围的资金15,000,000.00元。由于县房管中心为自收自支的事业单位，财政仅对项目支出进行预算经费拨付，没有对基本支出运行经费进行拨付，实际基本支出经费由单位余留存款自行解决。2019年属于“自收”的收入有129,874.49元，合计收入49,079,874.49元。2019年县房管中心实际支出68,693,313.47元，其中：项目支出62,915,841.33元,基本支出5,777,472.14元。县房管中心2019年度财政预算资金无结余。部门资金收支明细详见下表：</w:t>
      </w:r>
    </w:p>
    <w:p w14:paraId="5075188E">
      <w:pPr>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b/>
          <w:color w:val="000000"/>
          <w:kern w:val="0"/>
          <w:sz w:val="24"/>
          <w:lang w:bidi="ar"/>
        </w:rPr>
      </w:pPr>
      <w:r>
        <w:rPr>
          <w:rFonts w:hint="eastAsia" w:ascii="仿宋" w:hAnsi="仿宋" w:eastAsia="仿宋" w:cs="宋体"/>
          <w:b/>
          <w:color w:val="000000"/>
          <w:kern w:val="0"/>
          <w:sz w:val="24"/>
          <w:lang w:bidi="ar"/>
        </w:rPr>
        <w:t>县房管中心2019年度收支明细表</w:t>
      </w:r>
    </w:p>
    <w:tbl>
      <w:tblPr>
        <w:tblStyle w:val="10"/>
        <w:tblW w:w="8670" w:type="dxa"/>
        <w:tblInd w:w="0" w:type="dxa"/>
        <w:shd w:val="clear" w:color="auto" w:fill="auto"/>
        <w:tblLayout w:type="fixed"/>
        <w:tblCellMar>
          <w:top w:w="0" w:type="dxa"/>
          <w:left w:w="0" w:type="dxa"/>
          <w:bottom w:w="0" w:type="dxa"/>
          <w:right w:w="0" w:type="dxa"/>
        </w:tblCellMar>
      </w:tblPr>
      <w:tblGrid>
        <w:gridCol w:w="620"/>
        <w:gridCol w:w="2465"/>
        <w:gridCol w:w="1713"/>
        <w:gridCol w:w="3872"/>
      </w:tblGrid>
      <w:tr w14:paraId="185D9B6A">
        <w:tblPrEx>
          <w:shd w:val="clear" w:color="auto" w:fill="auto"/>
          <w:tblCellMar>
            <w:top w:w="0" w:type="dxa"/>
            <w:left w:w="0" w:type="dxa"/>
            <w:bottom w:w="0" w:type="dxa"/>
            <w:right w:w="0" w:type="dxa"/>
          </w:tblCellMar>
        </w:tblPrEx>
        <w:trPr>
          <w:trHeight w:val="322" w:hRule="atLeast"/>
        </w:trPr>
        <w:tc>
          <w:tcPr>
            <w:tcW w:w="620"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6A0697CD">
            <w:pPr>
              <w:keepNext w:val="0"/>
              <w:keepLines w:val="0"/>
              <w:widowControl/>
              <w:suppressLineNumbers w:val="0"/>
              <w:jc w:val="center"/>
              <w:textAlignment w:val="center"/>
              <w:rPr>
                <w:rFonts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分类</w:t>
            </w:r>
          </w:p>
        </w:tc>
        <w:tc>
          <w:tcPr>
            <w:tcW w:w="2465"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5A3732B7">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明细</w:t>
            </w:r>
          </w:p>
        </w:tc>
        <w:tc>
          <w:tcPr>
            <w:tcW w:w="171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0B2B2AC1">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金额（元）</w:t>
            </w:r>
          </w:p>
        </w:tc>
        <w:tc>
          <w:tcPr>
            <w:tcW w:w="387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5B0C08D7">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备注</w:t>
            </w:r>
          </w:p>
        </w:tc>
      </w:tr>
      <w:tr w14:paraId="76F6FA2F">
        <w:tblPrEx>
          <w:shd w:val="clear" w:color="auto" w:fill="auto"/>
          <w:tblCellMar>
            <w:top w:w="0" w:type="dxa"/>
            <w:left w:w="0" w:type="dxa"/>
            <w:bottom w:w="0" w:type="dxa"/>
            <w:right w:w="0" w:type="dxa"/>
          </w:tblCellMar>
        </w:tblPrEx>
        <w:trPr>
          <w:trHeight w:val="440" w:hRule="atLeast"/>
        </w:trPr>
        <w:tc>
          <w:tcPr>
            <w:tcW w:w="620" w:type="dxa"/>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39A270C0">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收入</w:t>
            </w:r>
          </w:p>
        </w:tc>
        <w:tc>
          <w:tcPr>
            <w:tcW w:w="2465"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2F7F5ADC">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上年一般公共预算结转结余</w:t>
            </w:r>
          </w:p>
        </w:tc>
        <w:tc>
          <w:tcPr>
            <w:tcW w:w="171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7FAF60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1,350,000.00</w:t>
            </w:r>
          </w:p>
        </w:tc>
        <w:tc>
          <w:tcPr>
            <w:tcW w:w="3872"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2A4F3A8E">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公共租赁房配套建设资金。</w:t>
            </w:r>
          </w:p>
        </w:tc>
      </w:tr>
      <w:tr w14:paraId="528EDEB5">
        <w:tblPrEx>
          <w:shd w:val="clear" w:color="auto" w:fill="auto"/>
          <w:tblCellMar>
            <w:top w:w="0" w:type="dxa"/>
            <w:left w:w="0" w:type="dxa"/>
            <w:bottom w:w="0" w:type="dxa"/>
            <w:right w:w="0" w:type="dxa"/>
          </w:tblCellMar>
        </w:tblPrEx>
        <w:trPr>
          <w:trHeight w:val="440"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4BD7C244">
            <w:pPr>
              <w:jc w:val="center"/>
              <w:rPr>
                <w:rFonts w:hint="eastAsia" w:ascii="仿宋" w:hAnsi="仿宋" w:eastAsia="仿宋" w:cs="仿宋"/>
                <w:b/>
                <w:i w:val="0"/>
                <w:color w:val="000000"/>
                <w:sz w:val="20"/>
                <w:szCs w:val="20"/>
                <w:u w:val="none"/>
              </w:rPr>
            </w:pPr>
          </w:p>
        </w:tc>
        <w:tc>
          <w:tcPr>
            <w:tcW w:w="2465"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289A5DBC">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一般公共预算拨款收入</w:t>
            </w:r>
          </w:p>
        </w:tc>
        <w:tc>
          <w:tcPr>
            <w:tcW w:w="171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7DC85F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32,600,000.00</w:t>
            </w:r>
          </w:p>
        </w:tc>
        <w:tc>
          <w:tcPr>
            <w:tcW w:w="387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36BC82FE">
            <w:pPr>
              <w:jc w:val="left"/>
              <w:rPr>
                <w:rFonts w:hint="eastAsia" w:ascii="仿宋" w:hAnsi="仿宋" w:eastAsia="仿宋" w:cs="仿宋"/>
                <w:i w:val="0"/>
                <w:color w:val="000000"/>
                <w:sz w:val="20"/>
                <w:szCs w:val="20"/>
                <w:u w:val="none"/>
              </w:rPr>
            </w:pPr>
          </w:p>
        </w:tc>
      </w:tr>
      <w:tr w14:paraId="68412515">
        <w:tblPrEx>
          <w:tblCellMar>
            <w:top w:w="0" w:type="dxa"/>
            <w:left w:w="0" w:type="dxa"/>
            <w:bottom w:w="0" w:type="dxa"/>
            <w:right w:w="0" w:type="dxa"/>
          </w:tblCellMar>
        </w:tblPrEx>
        <w:trPr>
          <w:trHeight w:val="440"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3723BC8F">
            <w:pPr>
              <w:jc w:val="center"/>
              <w:rPr>
                <w:rFonts w:hint="eastAsia" w:ascii="仿宋" w:hAnsi="仿宋" w:eastAsia="仿宋" w:cs="仿宋"/>
                <w:b/>
                <w:i w:val="0"/>
                <w:color w:val="000000"/>
                <w:sz w:val="20"/>
                <w:szCs w:val="20"/>
                <w:u w:val="none"/>
              </w:rPr>
            </w:pPr>
          </w:p>
        </w:tc>
        <w:tc>
          <w:tcPr>
            <w:tcW w:w="2465"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61B37A0B">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其他资金（县级资金）</w:t>
            </w:r>
          </w:p>
        </w:tc>
        <w:tc>
          <w:tcPr>
            <w:tcW w:w="171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11948C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15,000,000.00</w:t>
            </w:r>
          </w:p>
        </w:tc>
        <w:tc>
          <w:tcPr>
            <w:tcW w:w="387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62B6171A">
            <w:pPr>
              <w:jc w:val="left"/>
              <w:rPr>
                <w:rFonts w:hint="eastAsia" w:ascii="仿宋" w:hAnsi="仿宋" w:eastAsia="仿宋" w:cs="仿宋"/>
                <w:i w:val="0"/>
                <w:color w:val="000000"/>
                <w:sz w:val="20"/>
                <w:szCs w:val="20"/>
                <w:u w:val="none"/>
              </w:rPr>
            </w:pPr>
          </w:p>
        </w:tc>
      </w:tr>
      <w:tr w14:paraId="1DDC16DC">
        <w:tblPrEx>
          <w:shd w:val="clear" w:color="auto" w:fill="auto"/>
          <w:tblCellMar>
            <w:top w:w="0" w:type="dxa"/>
            <w:left w:w="0" w:type="dxa"/>
            <w:bottom w:w="0" w:type="dxa"/>
            <w:right w:w="0" w:type="dxa"/>
          </w:tblCellMar>
        </w:tblPrEx>
        <w:trPr>
          <w:trHeight w:val="440" w:hRule="atLeast"/>
        </w:trPr>
        <w:tc>
          <w:tcPr>
            <w:tcW w:w="620" w:type="dxa"/>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1B58305F">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收入</w:t>
            </w:r>
          </w:p>
        </w:tc>
        <w:tc>
          <w:tcPr>
            <w:tcW w:w="2465"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715470E0">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小计</w:t>
            </w:r>
          </w:p>
        </w:tc>
        <w:tc>
          <w:tcPr>
            <w:tcW w:w="171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66D809ED">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48,950,000.00</w:t>
            </w:r>
          </w:p>
        </w:tc>
        <w:tc>
          <w:tcPr>
            <w:tcW w:w="387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490A829F">
            <w:pPr>
              <w:jc w:val="left"/>
              <w:rPr>
                <w:rFonts w:hint="eastAsia" w:ascii="仿宋" w:hAnsi="仿宋" w:eastAsia="仿宋" w:cs="仿宋"/>
                <w:i w:val="0"/>
                <w:color w:val="000000"/>
                <w:sz w:val="20"/>
                <w:szCs w:val="20"/>
                <w:u w:val="none"/>
              </w:rPr>
            </w:pPr>
          </w:p>
        </w:tc>
      </w:tr>
      <w:tr w14:paraId="0EBB30F7">
        <w:tblPrEx>
          <w:shd w:val="clear" w:color="auto" w:fill="auto"/>
          <w:tblCellMar>
            <w:top w:w="0" w:type="dxa"/>
            <w:left w:w="0" w:type="dxa"/>
            <w:bottom w:w="0" w:type="dxa"/>
            <w:right w:w="0" w:type="dxa"/>
          </w:tblCellMar>
        </w:tblPrEx>
        <w:trPr>
          <w:trHeight w:val="440"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7FF09BDF">
            <w:pPr>
              <w:jc w:val="center"/>
              <w:rPr>
                <w:rFonts w:hint="eastAsia" w:ascii="仿宋" w:hAnsi="仿宋" w:eastAsia="仿宋" w:cs="仿宋"/>
                <w:b/>
                <w:i w:val="0"/>
                <w:color w:val="000000"/>
                <w:sz w:val="20"/>
                <w:szCs w:val="20"/>
                <w:u w:val="none"/>
              </w:rPr>
            </w:pPr>
          </w:p>
        </w:tc>
        <w:tc>
          <w:tcPr>
            <w:tcW w:w="2465"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443A0D55">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上级补助收入</w:t>
            </w:r>
          </w:p>
        </w:tc>
        <w:tc>
          <w:tcPr>
            <w:tcW w:w="171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03CB4C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60,000.00</w:t>
            </w:r>
          </w:p>
        </w:tc>
        <w:tc>
          <w:tcPr>
            <w:tcW w:w="387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6908A11C">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县规资局拨入工作经费60,000.00元。</w:t>
            </w:r>
          </w:p>
        </w:tc>
      </w:tr>
      <w:tr w14:paraId="24DDFACA">
        <w:tblPrEx>
          <w:shd w:val="clear" w:color="auto" w:fill="auto"/>
          <w:tblCellMar>
            <w:top w:w="0" w:type="dxa"/>
            <w:left w:w="0" w:type="dxa"/>
            <w:bottom w:w="0" w:type="dxa"/>
            <w:right w:w="0" w:type="dxa"/>
          </w:tblCellMar>
        </w:tblPrEx>
        <w:trPr>
          <w:trHeight w:val="560"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15E77F65">
            <w:pPr>
              <w:jc w:val="center"/>
              <w:rPr>
                <w:rFonts w:hint="eastAsia" w:ascii="仿宋" w:hAnsi="仿宋" w:eastAsia="仿宋" w:cs="仿宋"/>
                <w:b/>
                <w:i w:val="0"/>
                <w:color w:val="000000"/>
                <w:sz w:val="20"/>
                <w:szCs w:val="20"/>
                <w:u w:val="none"/>
              </w:rPr>
            </w:pPr>
          </w:p>
        </w:tc>
        <w:tc>
          <w:tcPr>
            <w:tcW w:w="2465"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417DB06D">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经营收入</w:t>
            </w:r>
          </w:p>
        </w:tc>
        <w:tc>
          <w:tcPr>
            <w:tcW w:w="171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485B7F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68,637.70</w:t>
            </w:r>
          </w:p>
        </w:tc>
        <w:tc>
          <w:tcPr>
            <w:tcW w:w="387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2321283D">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房屋测量费65,669.79元、档案查询费2,967.91元。</w:t>
            </w:r>
          </w:p>
        </w:tc>
      </w:tr>
      <w:tr w14:paraId="083528B0">
        <w:tblPrEx>
          <w:tblCellMar>
            <w:top w:w="0" w:type="dxa"/>
            <w:left w:w="0" w:type="dxa"/>
            <w:bottom w:w="0" w:type="dxa"/>
            <w:right w:w="0" w:type="dxa"/>
          </w:tblCellMar>
        </w:tblPrEx>
        <w:trPr>
          <w:trHeight w:val="820"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071FF55D">
            <w:pPr>
              <w:jc w:val="center"/>
              <w:rPr>
                <w:rFonts w:hint="eastAsia" w:ascii="仿宋" w:hAnsi="仿宋" w:eastAsia="仿宋" w:cs="仿宋"/>
                <w:b/>
                <w:i w:val="0"/>
                <w:color w:val="000000"/>
                <w:sz w:val="20"/>
                <w:szCs w:val="20"/>
                <w:u w:val="none"/>
              </w:rPr>
            </w:pPr>
          </w:p>
        </w:tc>
        <w:tc>
          <w:tcPr>
            <w:tcW w:w="2465"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435E5DE8">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其他收入</w:t>
            </w:r>
          </w:p>
        </w:tc>
        <w:tc>
          <w:tcPr>
            <w:tcW w:w="171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10CB27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1,236.79</w:t>
            </w:r>
          </w:p>
        </w:tc>
        <w:tc>
          <w:tcPr>
            <w:tcW w:w="387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6862D270">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代扣代缴个税“三代”手续费收入1088.3元，减免教育费附加和地方教育费附加148.49元。</w:t>
            </w:r>
          </w:p>
        </w:tc>
      </w:tr>
      <w:tr w14:paraId="3F68517A">
        <w:tblPrEx>
          <w:tblCellMar>
            <w:top w:w="0" w:type="dxa"/>
            <w:left w:w="0" w:type="dxa"/>
            <w:bottom w:w="0" w:type="dxa"/>
            <w:right w:w="0" w:type="dxa"/>
          </w:tblCellMar>
        </w:tblPrEx>
        <w:trPr>
          <w:trHeight w:val="440"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36D7A1DB">
            <w:pPr>
              <w:jc w:val="center"/>
              <w:rPr>
                <w:rFonts w:hint="eastAsia" w:ascii="仿宋" w:hAnsi="仿宋" w:eastAsia="仿宋" w:cs="仿宋"/>
                <w:b/>
                <w:i w:val="0"/>
                <w:color w:val="000000"/>
                <w:sz w:val="20"/>
                <w:szCs w:val="20"/>
                <w:u w:val="none"/>
              </w:rPr>
            </w:pPr>
          </w:p>
        </w:tc>
        <w:tc>
          <w:tcPr>
            <w:tcW w:w="2465"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3AB6DF1B">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小计</w:t>
            </w:r>
          </w:p>
        </w:tc>
        <w:tc>
          <w:tcPr>
            <w:tcW w:w="171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77606F39">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129，874.49</w:t>
            </w:r>
          </w:p>
        </w:tc>
        <w:tc>
          <w:tcPr>
            <w:tcW w:w="387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241F15C4">
            <w:pPr>
              <w:jc w:val="left"/>
              <w:rPr>
                <w:rFonts w:hint="eastAsia" w:ascii="仿宋" w:hAnsi="仿宋" w:eastAsia="仿宋" w:cs="仿宋"/>
                <w:i w:val="0"/>
                <w:color w:val="000000"/>
                <w:sz w:val="20"/>
                <w:szCs w:val="20"/>
                <w:u w:val="none"/>
              </w:rPr>
            </w:pPr>
          </w:p>
        </w:tc>
      </w:tr>
      <w:tr w14:paraId="0758A3AD">
        <w:tblPrEx>
          <w:shd w:val="clear" w:color="auto" w:fill="auto"/>
          <w:tblCellMar>
            <w:top w:w="0" w:type="dxa"/>
            <w:left w:w="0" w:type="dxa"/>
            <w:bottom w:w="0" w:type="dxa"/>
            <w:right w:w="0" w:type="dxa"/>
          </w:tblCellMar>
        </w:tblPrEx>
        <w:trPr>
          <w:trHeight w:val="440"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2D74F1AA">
            <w:pPr>
              <w:jc w:val="center"/>
              <w:rPr>
                <w:rFonts w:hint="eastAsia" w:ascii="仿宋" w:hAnsi="仿宋" w:eastAsia="仿宋" w:cs="仿宋"/>
                <w:b/>
                <w:i w:val="0"/>
                <w:color w:val="000000"/>
                <w:sz w:val="20"/>
                <w:szCs w:val="20"/>
                <w:u w:val="none"/>
              </w:rPr>
            </w:pPr>
          </w:p>
        </w:tc>
        <w:tc>
          <w:tcPr>
            <w:tcW w:w="2465"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239EA85B">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合计</w:t>
            </w:r>
          </w:p>
        </w:tc>
        <w:tc>
          <w:tcPr>
            <w:tcW w:w="171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5C0B462E">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49，079，874.49</w:t>
            </w:r>
          </w:p>
        </w:tc>
        <w:tc>
          <w:tcPr>
            <w:tcW w:w="387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4B639EC1">
            <w:pPr>
              <w:jc w:val="left"/>
              <w:rPr>
                <w:rFonts w:hint="eastAsia" w:ascii="仿宋" w:hAnsi="仿宋" w:eastAsia="仿宋" w:cs="仿宋"/>
                <w:i w:val="0"/>
                <w:color w:val="000000"/>
                <w:sz w:val="20"/>
                <w:szCs w:val="20"/>
                <w:u w:val="none"/>
              </w:rPr>
            </w:pPr>
          </w:p>
        </w:tc>
      </w:tr>
      <w:tr w14:paraId="32D75F0C">
        <w:tblPrEx>
          <w:shd w:val="clear" w:color="auto" w:fill="auto"/>
          <w:tblCellMar>
            <w:top w:w="0" w:type="dxa"/>
            <w:left w:w="0" w:type="dxa"/>
            <w:bottom w:w="0" w:type="dxa"/>
            <w:right w:w="0" w:type="dxa"/>
          </w:tblCellMar>
        </w:tblPrEx>
        <w:trPr>
          <w:trHeight w:val="1100" w:hRule="atLeast"/>
        </w:trPr>
        <w:tc>
          <w:tcPr>
            <w:tcW w:w="620" w:type="dxa"/>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4F441C32">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支出</w:t>
            </w:r>
          </w:p>
        </w:tc>
        <w:tc>
          <w:tcPr>
            <w:tcW w:w="2465"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7D0B00D0">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项目支出</w:t>
            </w:r>
          </w:p>
        </w:tc>
        <w:tc>
          <w:tcPr>
            <w:tcW w:w="171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454B83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62,915,841.33</w:t>
            </w:r>
          </w:p>
        </w:tc>
        <w:tc>
          <w:tcPr>
            <w:tcW w:w="387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7BFC2AE3">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由于财政资金紧张，财政拨款用于公共租赁房配套建设项目的收入数小于项目实际支出数，差额由部门向巫溪县城市建设投资有限公司借款弥补，2019年借入4500万元。</w:t>
            </w:r>
          </w:p>
        </w:tc>
      </w:tr>
      <w:tr w14:paraId="31CAAA38">
        <w:tblPrEx>
          <w:shd w:val="clear" w:color="auto" w:fill="auto"/>
          <w:tblCellMar>
            <w:top w:w="0" w:type="dxa"/>
            <w:left w:w="0" w:type="dxa"/>
            <w:bottom w:w="0" w:type="dxa"/>
            <w:right w:w="0" w:type="dxa"/>
          </w:tblCellMar>
        </w:tblPrEx>
        <w:trPr>
          <w:trHeight w:val="440"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17D8CBA6">
            <w:pPr>
              <w:jc w:val="center"/>
              <w:rPr>
                <w:rFonts w:hint="eastAsia" w:ascii="仿宋" w:hAnsi="仿宋" w:eastAsia="仿宋" w:cs="仿宋"/>
                <w:b/>
                <w:i w:val="0"/>
                <w:color w:val="000000"/>
                <w:sz w:val="20"/>
                <w:szCs w:val="20"/>
                <w:u w:val="none"/>
              </w:rPr>
            </w:pPr>
          </w:p>
        </w:tc>
        <w:tc>
          <w:tcPr>
            <w:tcW w:w="2465"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734E10CF">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其中：公共租赁住房项目建设</w:t>
            </w:r>
          </w:p>
        </w:tc>
        <w:tc>
          <w:tcPr>
            <w:tcW w:w="171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67BCAF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62,915,841.33</w:t>
            </w:r>
          </w:p>
        </w:tc>
        <w:tc>
          <w:tcPr>
            <w:tcW w:w="3872"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DA1CF74">
            <w:pPr>
              <w:jc w:val="left"/>
              <w:rPr>
                <w:rFonts w:hint="eastAsia" w:ascii="仿宋" w:hAnsi="仿宋" w:eastAsia="仿宋" w:cs="仿宋"/>
                <w:i w:val="0"/>
                <w:color w:val="000000"/>
                <w:sz w:val="20"/>
                <w:szCs w:val="20"/>
                <w:u w:val="none"/>
              </w:rPr>
            </w:pPr>
          </w:p>
        </w:tc>
      </w:tr>
      <w:tr w14:paraId="0EE2EC26">
        <w:tblPrEx>
          <w:shd w:val="clear" w:color="auto" w:fill="auto"/>
          <w:tblCellMar>
            <w:top w:w="0" w:type="dxa"/>
            <w:left w:w="0" w:type="dxa"/>
            <w:bottom w:w="0" w:type="dxa"/>
            <w:right w:w="0" w:type="dxa"/>
          </w:tblCellMar>
        </w:tblPrEx>
        <w:trPr>
          <w:trHeight w:val="440"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27B60AD1">
            <w:pPr>
              <w:jc w:val="center"/>
              <w:rPr>
                <w:rFonts w:hint="eastAsia" w:ascii="仿宋" w:hAnsi="仿宋" w:eastAsia="仿宋" w:cs="仿宋"/>
                <w:b/>
                <w:i w:val="0"/>
                <w:color w:val="000000"/>
                <w:sz w:val="20"/>
                <w:szCs w:val="20"/>
                <w:u w:val="none"/>
              </w:rPr>
            </w:pPr>
          </w:p>
        </w:tc>
        <w:tc>
          <w:tcPr>
            <w:tcW w:w="2465"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5B07CFE8">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基本支出</w:t>
            </w:r>
          </w:p>
        </w:tc>
        <w:tc>
          <w:tcPr>
            <w:tcW w:w="171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548F92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5,777,472.14</w:t>
            </w:r>
          </w:p>
        </w:tc>
        <w:tc>
          <w:tcPr>
            <w:tcW w:w="3872"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666E9C10">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基本支出不由财政经费保障，由单位自收自支解决。</w:t>
            </w:r>
          </w:p>
        </w:tc>
      </w:tr>
      <w:tr w14:paraId="2580C6AC">
        <w:tblPrEx>
          <w:shd w:val="clear" w:color="auto" w:fill="auto"/>
          <w:tblCellMar>
            <w:top w:w="0" w:type="dxa"/>
            <w:left w:w="0" w:type="dxa"/>
            <w:bottom w:w="0" w:type="dxa"/>
            <w:right w:w="0" w:type="dxa"/>
          </w:tblCellMar>
        </w:tblPrEx>
        <w:trPr>
          <w:trHeight w:val="440"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3B70AC85">
            <w:pPr>
              <w:jc w:val="center"/>
              <w:rPr>
                <w:rFonts w:hint="eastAsia" w:ascii="仿宋" w:hAnsi="仿宋" w:eastAsia="仿宋" w:cs="仿宋"/>
                <w:b/>
                <w:i w:val="0"/>
                <w:color w:val="000000"/>
                <w:sz w:val="20"/>
                <w:szCs w:val="20"/>
                <w:u w:val="none"/>
              </w:rPr>
            </w:pPr>
          </w:p>
        </w:tc>
        <w:tc>
          <w:tcPr>
            <w:tcW w:w="2465"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53CF593B">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其中：单位管理费用支出</w:t>
            </w:r>
          </w:p>
        </w:tc>
        <w:tc>
          <w:tcPr>
            <w:tcW w:w="171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6238D5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61,348.30</w:t>
            </w:r>
          </w:p>
        </w:tc>
        <w:tc>
          <w:tcPr>
            <w:tcW w:w="387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720EB7F4">
            <w:pPr>
              <w:jc w:val="left"/>
              <w:rPr>
                <w:rFonts w:hint="eastAsia" w:ascii="仿宋" w:hAnsi="仿宋" w:eastAsia="仿宋" w:cs="仿宋"/>
                <w:i w:val="0"/>
                <w:color w:val="000000"/>
                <w:sz w:val="20"/>
                <w:szCs w:val="20"/>
                <w:u w:val="none"/>
              </w:rPr>
            </w:pPr>
          </w:p>
        </w:tc>
      </w:tr>
      <w:tr w14:paraId="36C13E6B">
        <w:tblPrEx>
          <w:tblCellMar>
            <w:top w:w="0" w:type="dxa"/>
            <w:left w:w="0" w:type="dxa"/>
            <w:bottom w:w="0" w:type="dxa"/>
            <w:right w:w="0" w:type="dxa"/>
          </w:tblCellMar>
        </w:tblPrEx>
        <w:trPr>
          <w:trHeight w:val="440"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04B54501">
            <w:pPr>
              <w:jc w:val="center"/>
              <w:rPr>
                <w:rFonts w:hint="eastAsia" w:ascii="仿宋" w:hAnsi="仿宋" w:eastAsia="仿宋" w:cs="仿宋"/>
                <w:b/>
                <w:i w:val="0"/>
                <w:color w:val="000000"/>
                <w:sz w:val="20"/>
                <w:szCs w:val="20"/>
                <w:u w:val="none"/>
              </w:rPr>
            </w:pPr>
          </w:p>
        </w:tc>
        <w:tc>
          <w:tcPr>
            <w:tcW w:w="2465"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1BD86E70">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经营费用支出</w:t>
            </w:r>
          </w:p>
        </w:tc>
        <w:tc>
          <w:tcPr>
            <w:tcW w:w="171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1676D1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5,687,993.84</w:t>
            </w:r>
          </w:p>
        </w:tc>
        <w:tc>
          <w:tcPr>
            <w:tcW w:w="387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603CDA3B">
            <w:pPr>
              <w:jc w:val="left"/>
              <w:rPr>
                <w:rFonts w:hint="eastAsia" w:ascii="仿宋" w:hAnsi="仿宋" w:eastAsia="仿宋" w:cs="仿宋"/>
                <w:i w:val="0"/>
                <w:color w:val="000000"/>
                <w:sz w:val="20"/>
                <w:szCs w:val="20"/>
                <w:u w:val="none"/>
              </w:rPr>
            </w:pPr>
          </w:p>
        </w:tc>
      </w:tr>
      <w:tr w14:paraId="3C2A87CB">
        <w:tblPrEx>
          <w:tblCellMar>
            <w:top w:w="0" w:type="dxa"/>
            <w:left w:w="0" w:type="dxa"/>
            <w:bottom w:w="0" w:type="dxa"/>
            <w:right w:w="0" w:type="dxa"/>
          </w:tblCellMar>
        </w:tblPrEx>
        <w:trPr>
          <w:trHeight w:val="440"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3F470DE4">
            <w:pPr>
              <w:jc w:val="center"/>
              <w:rPr>
                <w:rFonts w:hint="eastAsia" w:ascii="仿宋" w:hAnsi="仿宋" w:eastAsia="仿宋" w:cs="仿宋"/>
                <w:b/>
                <w:i w:val="0"/>
                <w:color w:val="000000"/>
                <w:sz w:val="20"/>
                <w:szCs w:val="20"/>
                <w:u w:val="none"/>
              </w:rPr>
            </w:pPr>
          </w:p>
        </w:tc>
        <w:tc>
          <w:tcPr>
            <w:tcW w:w="2465"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1AA671E2">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固定资产</w:t>
            </w:r>
          </w:p>
        </w:tc>
        <w:tc>
          <w:tcPr>
            <w:tcW w:w="171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23CAE7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28,130.00</w:t>
            </w:r>
          </w:p>
        </w:tc>
        <w:tc>
          <w:tcPr>
            <w:tcW w:w="3872"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3B68CC2B">
            <w:pPr>
              <w:jc w:val="left"/>
              <w:rPr>
                <w:rFonts w:hint="eastAsia" w:ascii="仿宋" w:hAnsi="仿宋" w:eastAsia="仿宋" w:cs="仿宋"/>
                <w:i w:val="0"/>
                <w:color w:val="000000"/>
                <w:sz w:val="20"/>
                <w:szCs w:val="20"/>
                <w:u w:val="none"/>
              </w:rPr>
            </w:pPr>
          </w:p>
        </w:tc>
      </w:tr>
      <w:tr w14:paraId="76930600">
        <w:tblPrEx>
          <w:shd w:val="clear" w:color="auto" w:fill="auto"/>
          <w:tblCellMar>
            <w:top w:w="0" w:type="dxa"/>
            <w:left w:w="0" w:type="dxa"/>
            <w:bottom w:w="0" w:type="dxa"/>
            <w:right w:w="0" w:type="dxa"/>
          </w:tblCellMar>
        </w:tblPrEx>
        <w:trPr>
          <w:trHeight w:val="400"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39A86385">
            <w:pPr>
              <w:jc w:val="center"/>
              <w:rPr>
                <w:rFonts w:hint="eastAsia" w:ascii="仿宋" w:hAnsi="仿宋" w:eastAsia="仿宋" w:cs="仿宋"/>
                <w:b/>
                <w:i w:val="0"/>
                <w:color w:val="000000"/>
                <w:sz w:val="20"/>
                <w:szCs w:val="20"/>
                <w:u w:val="none"/>
              </w:rPr>
            </w:pPr>
          </w:p>
        </w:tc>
        <w:tc>
          <w:tcPr>
            <w:tcW w:w="2465"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6034066F">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合计</w:t>
            </w:r>
          </w:p>
        </w:tc>
        <w:tc>
          <w:tcPr>
            <w:tcW w:w="171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55E668F3">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68,693,313.47</w:t>
            </w:r>
          </w:p>
        </w:tc>
        <w:tc>
          <w:tcPr>
            <w:tcW w:w="387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14:paraId="42E4459D">
            <w:pPr>
              <w:jc w:val="left"/>
              <w:rPr>
                <w:rFonts w:hint="eastAsia" w:ascii="宋体" w:hAnsi="宋体" w:eastAsia="宋体" w:cs="宋体"/>
                <w:i w:val="0"/>
                <w:color w:val="000000"/>
                <w:sz w:val="24"/>
                <w:szCs w:val="24"/>
                <w:u w:val="none"/>
              </w:rPr>
            </w:pPr>
          </w:p>
        </w:tc>
      </w:tr>
    </w:tbl>
    <w:p w14:paraId="62BBF719">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562" w:firstLineChars="200"/>
        <w:textAlignment w:val="auto"/>
        <w:outlineLvl w:val="1"/>
        <w:rPr>
          <w:rFonts w:hint="eastAsia" w:ascii="仿宋_GB2312" w:hAnsi="仿宋_GB2312"/>
          <w:b/>
          <w:bCs/>
          <w:spacing w:val="-10"/>
          <w:szCs w:val="30"/>
        </w:rPr>
      </w:pPr>
      <w:bookmarkStart w:id="22" w:name="_Toc12736"/>
      <w:bookmarkStart w:id="23" w:name="_Toc14979"/>
      <w:bookmarkStart w:id="24" w:name="_Toc7174"/>
      <w:r>
        <w:rPr>
          <w:rFonts w:hint="eastAsia" w:ascii="仿宋_GB2312" w:hAnsi="仿宋_GB2312"/>
          <w:b/>
          <w:bCs/>
          <w:spacing w:val="-10"/>
          <w:szCs w:val="30"/>
        </w:rPr>
        <w:t>（三）部门绩效目标设置及完成情况</w:t>
      </w:r>
      <w:bookmarkEnd w:id="22"/>
      <w:bookmarkEnd w:id="23"/>
      <w:bookmarkEnd w:id="24"/>
    </w:p>
    <w:p w14:paraId="266A7AFD">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县房管中心</w:t>
      </w:r>
      <w:r>
        <w:rPr>
          <w:rFonts w:hint="eastAsia" w:ascii="仿宋_GB2312" w:hAnsi="宋体"/>
          <w:szCs w:val="30"/>
          <w:lang w:val="en-US" w:eastAsia="zh-CN"/>
        </w:rPr>
        <w:t>2019年</w:t>
      </w:r>
      <w:r>
        <w:rPr>
          <w:rFonts w:hint="eastAsia" w:ascii="仿宋_GB2312" w:hAnsi="宋体"/>
          <w:szCs w:val="30"/>
        </w:rPr>
        <w:t>未编制具体可量化的部门总体绩效目标，仅在《巫溪县房地产管理处关于2018年度工作总结暨2019年工作思路》“三、2019年工作思路”</w:t>
      </w:r>
      <w:r>
        <w:rPr>
          <w:rFonts w:hint="eastAsia" w:ascii="仿宋_GB2312" w:hAnsi="宋体"/>
          <w:szCs w:val="30"/>
          <w:lang w:eastAsia="zh-CN"/>
        </w:rPr>
        <w:t>中</w:t>
      </w:r>
      <w:r>
        <w:rPr>
          <w:rFonts w:hint="eastAsia" w:ascii="仿宋_GB2312" w:hAnsi="宋体"/>
          <w:szCs w:val="30"/>
        </w:rPr>
        <w:t>分六个方面对2019年的工作计划及思路进行了描述</w:t>
      </w:r>
      <w:r>
        <w:rPr>
          <w:rFonts w:hint="eastAsia" w:ascii="仿宋_GB2312" w:hAnsi="宋体"/>
          <w:szCs w:val="30"/>
          <w:lang w:eastAsia="zh-CN"/>
        </w:rPr>
        <w:t>。</w:t>
      </w:r>
      <w:r>
        <w:rPr>
          <w:rFonts w:hint="eastAsia" w:ascii="仿宋_GB2312" w:hAnsi="宋体"/>
          <w:szCs w:val="30"/>
        </w:rPr>
        <w:t>分别为：努力搞好保障性住房管理；集中力量做好不动产登记工作；进一步加强房地产市场监管；物业管理提档升级；进一步加大脱贫攻坚力度；全面解决遗留办证问题。</w:t>
      </w:r>
      <w:bookmarkEnd w:id="4"/>
      <w:bookmarkStart w:id="25" w:name="_Toc447603203"/>
      <w:r>
        <w:rPr>
          <w:rFonts w:hint="eastAsia" w:ascii="仿宋_GB2312" w:hAnsi="宋体"/>
          <w:szCs w:val="30"/>
        </w:rPr>
        <w:t>因无量化、细化指标，且无法一一对应核实，因此部门绩效目标完成情况也无法发表准确意见。</w:t>
      </w:r>
    </w:p>
    <w:p w14:paraId="5EC8A326">
      <w:pPr>
        <w:keepNext w:val="0"/>
        <w:keepLines w:val="0"/>
        <w:pageBreakBefore w:val="0"/>
        <w:widowControl w:val="0"/>
        <w:numPr>
          <w:ilvl w:val="255"/>
          <w:numId w:val="0"/>
        </w:numPr>
        <w:kinsoku/>
        <w:wordWrap/>
        <w:overflowPunct/>
        <w:topLinePunct w:val="0"/>
        <w:autoSpaceDE/>
        <w:autoSpaceDN/>
        <w:bidi w:val="0"/>
        <w:adjustRightInd/>
        <w:snapToGrid/>
        <w:spacing w:before="120" w:beforeLines="50" w:after="120" w:afterLines="50" w:line="360" w:lineRule="auto"/>
        <w:ind w:firstLine="643" w:firstLineChars="200"/>
        <w:textAlignment w:val="auto"/>
        <w:outlineLvl w:val="0"/>
        <w:rPr>
          <w:rFonts w:hint="eastAsia" w:ascii="黑体" w:hAnsi="黑体" w:eastAsia="黑体"/>
          <w:b/>
          <w:sz w:val="32"/>
          <w:szCs w:val="32"/>
        </w:rPr>
      </w:pPr>
      <w:bookmarkStart w:id="26" w:name="_Toc8622"/>
      <w:bookmarkStart w:id="27" w:name="_Toc18577"/>
      <w:bookmarkStart w:id="28" w:name="_Toc23769"/>
      <w:r>
        <w:rPr>
          <w:rFonts w:hint="eastAsia" w:ascii="黑体" w:hAnsi="黑体" w:eastAsia="黑体"/>
          <w:b/>
          <w:sz w:val="32"/>
          <w:szCs w:val="32"/>
        </w:rPr>
        <w:t>二、绩效评价工作情况</w:t>
      </w:r>
      <w:bookmarkEnd w:id="25"/>
      <w:bookmarkEnd w:id="26"/>
      <w:bookmarkEnd w:id="27"/>
      <w:bookmarkEnd w:id="28"/>
    </w:p>
    <w:p w14:paraId="57EF0C26">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562" w:firstLineChars="200"/>
        <w:textAlignment w:val="auto"/>
        <w:outlineLvl w:val="1"/>
        <w:rPr>
          <w:rFonts w:hint="eastAsia" w:ascii="仿宋_GB2312" w:hAnsi="仿宋_GB2312"/>
          <w:b/>
          <w:bCs/>
          <w:spacing w:val="-10"/>
          <w:szCs w:val="30"/>
        </w:rPr>
      </w:pPr>
      <w:bookmarkStart w:id="29" w:name="_Toc447603204"/>
      <w:bookmarkStart w:id="30" w:name="_Toc11475"/>
      <w:bookmarkStart w:id="31" w:name="_Toc31095"/>
      <w:bookmarkStart w:id="32" w:name="_Toc18933"/>
      <w:r>
        <w:rPr>
          <w:rFonts w:hint="eastAsia" w:ascii="仿宋_GB2312" w:hAnsi="仿宋_GB2312"/>
          <w:b/>
          <w:bCs/>
          <w:spacing w:val="-10"/>
          <w:szCs w:val="30"/>
        </w:rPr>
        <w:t>（一）绩效评价目的</w:t>
      </w:r>
      <w:bookmarkEnd w:id="29"/>
      <w:bookmarkEnd w:id="30"/>
      <w:bookmarkEnd w:id="31"/>
      <w:bookmarkEnd w:id="32"/>
    </w:p>
    <w:p w14:paraId="71A0E196">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通过绩效评价，衡量该部门运行产生的经济效益和社会效益，了解、分析、验证财政专项资金是否达到预期目标，为今后年度的项目预算安排提供依据。同时</w:t>
      </w:r>
      <w:r>
        <w:rPr>
          <w:rFonts w:hint="eastAsia" w:ascii="仿宋_GB2312" w:hAnsi="宋体"/>
          <w:szCs w:val="30"/>
          <w:lang w:eastAsia="zh-CN"/>
        </w:rPr>
        <w:t>，</w:t>
      </w:r>
      <w:r>
        <w:rPr>
          <w:rFonts w:hint="eastAsia" w:ascii="仿宋_GB2312" w:hAnsi="宋体"/>
          <w:szCs w:val="30"/>
        </w:rPr>
        <w:t>及时总结经验，分析存在问题，采取切实措施不断改进和加强管理，进一步提高财政管理水平和资金使用效益。</w:t>
      </w:r>
    </w:p>
    <w:p w14:paraId="3D14E9ED">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562" w:firstLineChars="200"/>
        <w:textAlignment w:val="auto"/>
        <w:outlineLvl w:val="1"/>
        <w:rPr>
          <w:rFonts w:hint="eastAsia" w:ascii="仿宋_GB2312" w:hAnsi="仿宋_GB2312"/>
          <w:b/>
          <w:bCs/>
          <w:spacing w:val="-10"/>
          <w:szCs w:val="30"/>
        </w:rPr>
      </w:pPr>
      <w:bookmarkStart w:id="33" w:name="_Toc447603205"/>
      <w:bookmarkStart w:id="34" w:name="_Toc11353"/>
      <w:bookmarkStart w:id="35" w:name="_Toc26602"/>
      <w:bookmarkStart w:id="36" w:name="_Toc3348"/>
      <w:r>
        <w:rPr>
          <w:rFonts w:hint="eastAsia" w:ascii="仿宋_GB2312" w:hAnsi="仿宋_GB2312"/>
          <w:b/>
          <w:bCs/>
          <w:spacing w:val="-10"/>
          <w:szCs w:val="30"/>
        </w:rPr>
        <w:t>（二）绩效评价依据</w:t>
      </w:r>
      <w:bookmarkEnd w:id="33"/>
      <w:bookmarkEnd w:id="34"/>
      <w:bookmarkEnd w:id="35"/>
      <w:bookmarkEnd w:id="36"/>
    </w:p>
    <w:p w14:paraId="739BF1A0">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hint="eastAsia" w:ascii="仿宋_GB2312" w:hAnsi="宋体"/>
          <w:szCs w:val="30"/>
          <w:lang w:eastAsia="zh-CN"/>
        </w:rPr>
      </w:pPr>
      <w:r>
        <w:rPr>
          <w:rFonts w:hint="eastAsia" w:ascii="仿宋_GB2312" w:hAnsi="宋体"/>
          <w:szCs w:val="30"/>
          <w:lang w:val="en-US" w:eastAsia="zh-CN"/>
        </w:rPr>
        <w:t>1.</w:t>
      </w:r>
      <w:r>
        <w:rPr>
          <w:rFonts w:hint="eastAsia" w:ascii="仿宋_GB2312" w:hAnsi="宋体"/>
          <w:szCs w:val="30"/>
        </w:rPr>
        <w:t>《中共中央国务院关于全面实施预算绩效管理的意见》（中发〔2018〕34号）</w:t>
      </w:r>
      <w:r>
        <w:rPr>
          <w:rFonts w:hint="eastAsia" w:ascii="仿宋_GB2312" w:hAnsi="宋体"/>
          <w:szCs w:val="30"/>
          <w:lang w:eastAsia="zh-CN"/>
        </w:rPr>
        <w:t>；</w:t>
      </w:r>
    </w:p>
    <w:p w14:paraId="7CF5872E">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hint="eastAsia" w:ascii="仿宋_GB2312" w:hAnsi="宋体"/>
          <w:szCs w:val="30"/>
          <w:lang w:eastAsia="zh-CN"/>
        </w:rPr>
      </w:pPr>
      <w:r>
        <w:rPr>
          <w:rFonts w:hint="eastAsia" w:ascii="仿宋_GB2312" w:hAnsi="宋体"/>
          <w:szCs w:val="30"/>
          <w:lang w:val="en-US" w:eastAsia="zh-CN"/>
        </w:rPr>
        <w:t>2.</w:t>
      </w:r>
      <w:r>
        <w:rPr>
          <w:rFonts w:hint="eastAsia" w:ascii="仿宋_GB2312" w:hAnsi="宋体"/>
          <w:szCs w:val="30"/>
        </w:rPr>
        <w:t>《中共巫溪县委巫溪县人民政府关于全面实施预算绩效管理的实施意见》（巫溪委发〔2019〕27号）</w:t>
      </w:r>
      <w:r>
        <w:rPr>
          <w:rFonts w:hint="eastAsia" w:ascii="仿宋_GB2312" w:hAnsi="宋体"/>
          <w:szCs w:val="30"/>
          <w:lang w:eastAsia="zh-CN"/>
        </w:rPr>
        <w:t>；</w:t>
      </w:r>
    </w:p>
    <w:p w14:paraId="76A8408B">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hint="eastAsia" w:ascii="仿宋_GB2312" w:hAnsi="宋体"/>
          <w:szCs w:val="30"/>
        </w:rPr>
      </w:pPr>
      <w:r>
        <w:rPr>
          <w:rFonts w:hint="eastAsia" w:ascii="仿宋_GB2312" w:hAnsi="宋体"/>
          <w:szCs w:val="30"/>
          <w:lang w:val="en-US" w:eastAsia="zh-CN"/>
        </w:rPr>
        <w:t>3.</w:t>
      </w:r>
      <w:r>
        <w:rPr>
          <w:rFonts w:hint="eastAsia" w:ascii="仿宋_GB2312" w:hAnsi="宋体"/>
          <w:szCs w:val="30"/>
        </w:rPr>
        <w:t>《巫溪县预算单位整体绩效管理办法（试行）》（溪财发〔2020〕52号）；</w:t>
      </w:r>
    </w:p>
    <w:p w14:paraId="3B9CC8F4">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hint="eastAsia" w:ascii="仿宋_GB2312" w:hAnsi="宋体"/>
          <w:szCs w:val="30"/>
        </w:rPr>
      </w:pPr>
      <w:r>
        <w:rPr>
          <w:rFonts w:hint="eastAsia" w:ascii="仿宋_GB2312" w:hAnsi="宋体"/>
          <w:szCs w:val="30"/>
          <w:lang w:val="en-US" w:eastAsia="zh-CN"/>
        </w:rPr>
        <w:t>4.</w:t>
      </w:r>
      <w:r>
        <w:rPr>
          <w:rFonts w:hint="eastAsia" w:ascii="仿宋_GB2312" w:hAnsi="宋体"/>
          <w:szCs w:val="30"/>
        </w:rPr>
        <w:t>部门相关内部财务资料、管理资料，登记台账；</w:t>
      </w:r>
    </w:p>
    <w:p w14:paraId="4857CCA6">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lang w:val="en-US" w:eastAsia="zh-CN"/>
        </w:rPr>
        <w:t>5.</w:t>
      </w:r>
      <w:r>
        <w:rPr>
          <w:rFonts w:hint="eastAsia" w:ascii="仿宋_GB2312" w:hAnsi="宋体"/>
          <w:szCs w:val="30"/>
        </w:rPr>
        <w:t>项目相关资金文件、合同资料等。</w:t>
      </w:r>
    </w:p>
    <w:p w14:paraId="1F35D62E">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562" w:firstLineChars="200"/>
        <w:textAlignment w:val="auto"/>
        <w:outlineLvl w:val="1"/>
        <w:rPr>
          <w:rFonts w:hint="eastAsia" w:ascii="仿宋_GB2312" w:hAnsi="仿宋_GB2312"/>
          <w:b/>
          <w:bCs/>
          <w:spacing w:val="-10"/>
          <w:szCs w:val="30"/>
        </w:rPr>
      </w:pPr>
      <w:bookmarkStart w:id="37" w:name="_Toc6353"/>
      <w:bookmarkStart w:id="38" w:name="_Toc447603207"/>
      <w:bookmarkStart w:id="39" w:name="_Toc30101"/>
      <w:bookmarkStart w:id="40" w:name="_Toc8731"/>
      <w:r>
        <w:rPr>
          <w:rFonts w:hint="eastAsia" w:ascii="仿宋_GB2312" w:hAnsi="仿宋_GB2312"/>
          <w:b/>
          <w:bCs/>
          <w:spacing w:val="-10"/>
          <w:szCs w:val="30"/>
        </w:rPr>
        <w:t>（三）绩效评价方式方法</w:t>
      </w:r>
      <w:bookmarkEnd w:id="37"/>
      <w:bookmarkEnd w:id="38"/>
      <w:bookmarkEnd w:id="39"/>
      <w:bookmarkEnd w:id="40"/>
    </w:p>
    <w:p w14:paraId="0A276D56">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评价方式分为现场评价和非现场评价，本项目采取现场和非现场评价相结合的方式实施评价。现场评价是指评价人员到项目现场采取勘察、询查、复核等方式，对有关情况进行核实，对所掌握的有关资料进行分类、整理和分析，提出评价意见。非现场评价是指评价人员在对被评价项目单位提供的有关资料进行分类、整理和分析的基础上，提出评价意见。绩效评价方法有查证法、比较法、公众评判法、座谈法、因素分析法等评价方法。</w:t>
      </w:r>
    </w:p>
    <w:p w14:paraId="27C0B898">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562" w:firstLineChars="200"/>
        <w:textAlignment w:val="auto"/>
        <w:outlineLvl w:val="1"/>
        <w:rPr>
          <w:rFonts w:hint="eastAsia" w:ascii="仿宋_GB2312" w:hAnsi="仿宋_GB2312"/>
          <w:b/>
          <w:bCs/>
          <w:spacing w:val="-10"/>
          <w:szCs w:val="30"/>
        </w:rPr>
      </w:pPr>
      <w:bookmarkStart w:id="41" w:name="_Toc22784"/>
      <w:bookmarkStart w:id="42" w:name="_Toc7271"/>
      <w:bookmarkStart w:id="43" w:name="_Toc28190"/>
      <w:bookmarkStart w:id="44" w:name="_Toc447603208"/>
      <w:bookmarkStart w:id="45" w:name="_Toc313640961"/>
      <w:r>
        <w:rPr>
          <w:rFonts w:hint="eastAsia" w:ascii="仿宋_GB2312" w:hAnsi="仿宋_GB2312"/>
          <w:b/>
          <w:bCs/>
          <w:spacing w:val="-10"/>
          <w:szCs w:val="30"/>
        </w:rPr>
        <w:t>（四）评价指标体系</w:t>
      </w:r>
      <w:bookmarkEnd w:id="41"/>
      <w:bookmarkEnd w:id="42"/>
      <w:bookmarkEnd w:id="43"/>
      <w:bookmarkEnd w:id="44"/>
    </w:p>
    <w:p w14:paraId="3F96E1B3">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根据部门绩效评价工作要求和本部门具体情况，工作组经与县财政局、县房管中心充分讨论，拟定巫溪县房屋管理服务中心2019年度部门整体支出预算绩效评价指标体系。整个指标体系分为投入（8分）、过程（24分）、产出（41分）及效果（28分）4个一级指标，并设置了8个二级指标</w:t>
      </w:r>
      <w:r>
        <w:rPr>
          <w:rFonts w:hint="eastAsia" w:ascii="仿宋_GB2312" w:hAnsi="宋体"/>
          <w:szCs w:val="30"/>
          <w:lang w:eastAsia="zh-CN"/>
        </w:rPr>
        <w:t>、</w:t>
      </w:r>
      <w:r>
        <w:rPr>
          <w:rFonts w:hint="eastAsia" w:ascii="仿宋_GB2312" w:hAnsi="宋体"/>
          <w:szCs w:val="30"/>
        </w:rPr>
        <w:t>29个三级指标。具体指标详见附件《巫溪县房屋管理服务中心2019年度部门整体支出绩效评价指标体系</w:t>
      </w:r>
      <w:r>
        <w:rPr>
          <w:rFonts w:hint="eastAsia" w:ascii="仿宋_GB2312" w:hAnsi="宋体"/>
          <w:szCs w:val="30"/>
          <w:lang w:eastAsia="zh-CN"/>
        </w:rPr>
        <w:t>及评分表</w:t>
      </w:r>
      <w:r>
        <w:rPr>
          <w:rFonts w:hint="eastAsia" w:ascii="仿宋_GB2312" w:hAnsi="宋体"/>
          <w:szCs w:val="30"/>
        </w:rPr>
        <w:t>》（附件1）。</w:t>
      </w:r>
      <w:bookmarkEnd w:id="45"/>
    </w:p>
    <w:p w14:paraId="089B0C16">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562" w:firstLineChars="200"/>
        <w:textAlignment w:val="auto"/>
        <w:outlineLvl w:val="1"/>
        <w:rPr>
          <w:rFonts w:hint="eastAsia" w:ascii="仿宋_GB2312" w:hAnsi="仿宋_GB2312"/>
          <w:b/>
          <w:bCs/>
          <w:spacing w:val="-10"/>
          <w:szCs w:val="30"/>
        </w:rPr>
      </w:pPr>
      <w:bookmarkStart w:id="46" w:name="_Toc1587"/>
      <w:bookmarkStart w:id="47" w:name="_Toc21134"/>
      <w:bookmarkStart w:id="48" w:name="_Toc447603206"/>
      <w:bookmarkStart w:id="49" w:name="_Toc14533"/>
      <w:r>
        <w:rPr>
          <w:rFonts w:hint="eastAsia" w:ascii="仿宋_GB2312" w:hAnsi="仿宋_GB2312"/>
          <w:b/>
          <w:bCs/>
          <w:spacing w:val="-10"/>
          <w:szCs w:val="30"/>
        </w:rPr>
        <w:t>（五）评价重点内容</w:t>
      </w:r>
      <w:bookmarkEnd w:id="46"/>
      <w:bookmarkEnd w:id="47"/>
      <w:bookmarkEnd w:id="48"/>
      <w:bookmarkEnd w:id="49"/>
    </w:p>
    <w:p w14:paraId="3BC82B81">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本次评价的重点内容包括目标设定、预算配置、预算执行、财务管理、资产管理、业务管理、职责履行、履职效益八个关键点，涵盖了预算绩效管理中的投入、过程、产出、效果四大方面。具体包括了目标设定的合理性和明确性，预算配置中的在职人员控制率、"三公经费"变动率，预算执行中的预算完成率、结转结余率、"三公经费"控制率、政府采购合规率，财务管理中的资金使用合规性、基础信息完善性，资产管理中的管理制度健全、资产管理安全、固定资产利用率，业务管理中的管理制度健全性、制度执行有效性、工程项目管理合规性，职责履行方面8个子项、履职效益方面5个</w:t>
      </w:r>
      <w:r>
        <w:rPr>
          <w:rFonts w:hint="eastAsia" w:ascii="仿宋_GB2312" w:hAnsi="宋体"/>
          <w:szCs w:val="30"/>
          <w:lang w:eastAsia="zh-CN"/>
        </w:rPr>
        <w:t>指标</w:t>
      </w:r>
      <w:r>
        <w:rPr>
          <w:rFonts w:hint="eastAsia" w:ascii="仿宋_GB2312" w:hAnsi="宋体"/>
          <w:szCs w:val="30"/>
        </w:rPr>
        <w:t>。</w:t>
      </w:r>
    </w:p>
    <w:p w14:paraId="76CA19F8">
      <w:pPr>
        <w:keepNext w:val="0"/>
        <w:keepLines w:val="0"/>
        <w:pageBreakBefore w:val="0"/>
        <w:widowControl w:val="0"/>
        <w:numPr>
          <w:ilvl w:val="255"/>
          <w:numId w:val="0"/>
        </w:numPr>
        <w:kinsoku/>
        <w:wordWrap/>
        <w:overflowPunct/>
        <w:topLinePunct w:val="0"/>
        <w:autoSpaceDE/>
        <w:autoSpaceDN/>
        <w:bidi w:val="0"/>
        <w:adjustRightInd/>
        <w:snapToGrid/>
        <w:spacing w:before="120" w:beforeLines="50" w:after="120" w:afterLines="50" w:line="360" w:lineRule="auto"/>
        <w:ind w:firstLine="643" w:firstLineChars="200"/>
        <w:textAlignment w:val="auto"/>
        <w:outlineLvl w:val="0"/>
        <w:rPr>
          <w:rFonts w:hint="eastAsia" w:ascii="黑体" w:hAnsi="黑体" w:eastAsia="黑体"/>
          <w:b/>
          <w:sz w:val="32"/>
          <w:szCs w:val="32"/>
        </w:rPr>
      </w:pPr>
      <w:bookmarkStart w:id="50" w:name="_Toc22965"/>
      <w:bookmarkStart w:id="51" w:name="_Toc11656"/>
      <w:bookmarkStart w:id="52" w:name="_Toc12650"/>
      <w:bookmarkStart w:id="53" w:name="_Toc29513"/>
      <w:r>
        <w:rPr>
          <w:rFonts w:hint="eastAsia" w:ascii="黑体" w:hAnsi="黑体" w:eastAsia="黑体"/>
          <w:b/>
          <w:sz w:val="32"/>
          <w:szCs w:val="32"/>
        </w:rPr>
        <w:t>三、绩效评价情况分析</w:t>
      </w:r>
      <w:bookmarkEnd w:id="50"/>
      <w:bookmarkEnd w:id="51"/>
      <w:bookmarkEnd w:id="52"/>
    </w:p>
    <w:p w14:paraId="609FA923">
      <w:pPr>
        <w:pageBreakBefore w:val="0"/>
        <w:widowControl w:val="0"/>
        <w:numPr>
          <w:ilvl w:val="0"/>
          <w:numId w:val="1"/>
        </w:numPr>
        <w:kinsoku/>
        <w:wordWrap/>
        <w:overflowPunct/>
        <w:topLinePunct w:val="0"/>
        <w:autoSpaceDE/>
        <w:autoSpaceDN/>
        <w:bidi w:val="0"/>
        <w:adjustRightInd/>
        <w:snapToGrid/>
        <w:spacing w:before="120" w:beforeLines="50" w:after="120" w:afterLines="50" w:line="360" w:lineRule="auto"/>
        <w:ind w:firstLine="602" w:firstLineChars="200"/>
        <w:textAlignment w:val="auto"/>
        <w:outlineLvl w:val="1"/>
        <w:rPr>
          <w:rFonts w:ascii="仿宋_GB2312"/>
          <w:b/>
          <w:kern w:val="0"/>
          <w:szCs w:val="30"/>
        </w:rPr>
      </w:pPr>
      <w:bookmarkStart w:id="54" w:name="_Toc2842"/>
      <w:bookmarkStart w:id="55" w:name="_Toc556"/>
      <w:bookmarkStart w:id="56" w:name="_Toc20376"/>
      <w:r>
        <w:rPr>
          <w:rFonts w:hint="eastAsia" w:ascii="仿宋_GB2312"/>
          <w:b/>
          <w:kern w:val="0"/>
          <w:szCs w:val="30"/>
        </w:rPr>
        <w:t>目标设定</w:t>
      </w:r>
      <w:bookmarkEnd w:id="54"/>
      <w:bookmarkEnd w:id="55"/>
      <w:bookmarkEnd w:id="56"/>
    </w:p>
    <w:p w14:paraId="2301A51B">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1</w:t>
      </w:r>
      <w:r>
        <w:rPr>
          <w:rFonts w:hint="eastAsia" w:ascii="仿宋_GB2312"/>
          <w:b/>
          <w:kern w:val="0"/>
          <w:szCs w:val="30"/>
          <w:lang w:val="en-US" w:eastAsia="zh-CN"/>
        </w:rPr>
        <w:t>.</w:t>
      </w:r>
      <w:r>
        <w:rPr>
          <w:rFonts w:hint="eastAsia" w:ascii="仿宋_GB2312"/>
          <w:b/>
          <w:kern w:val="0"/>
          <w:szCs w:val="30"/>
        </w:rPr>
        <w:t>绩效目标合理性</w:t>
      </w:r>
    </w:p>
    <w:p w14:paraId="5C30B3B1">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县房管中心未编制2019年度部门总体绩效目标，仅在《巫溪县房地产管理处关于2018年度工作总结暨2019年工作思路》“三、2019年工作思路”</w:t>
      </w:r>
      <w:r>
        <w:rPr>
          <w:rFonts w:hint="eastAsia" w:ascii="仿宋_GB2312" w:hAnsi="宋体"/>
          <w:szCs w:val="30"/>
          <w:lang w:eastAsia="zh-CN"/>
        </w:rPr>
        <w:t>中</w:t>
      </w:r>
      <w:r>
        <w:rPr>
          <w:rFonts w:hint="eastAsia" w:ascii="仿宋_GB2312" w:hAnsi="宋体"/>
          <w:szCs w:val="30"/>
        </w:rPr>
        <w:t>分六个方面的工作思路</w:t>
      </w:r>
      <w:r>
        <w:rPr>
          <w:rFonts w:hint="eastAsia" w:ascii="仿宋_GB2312" w:hAnsi="宋体"/>
          <w:szCs w:val="30"/>
          <w:lang w:eastAsia="zh-CN"/>
        </w:rPr>
        <w:t>。</w:t>
      </w:r>
      <w:r>
        <w:rPr>
          <w:rFonts w:hint="eastAsia" w:ascii="仿宋_GB2312" w:hAnsi="宋体"/>
          <w:szCs w:val="30"/>
        </w:rPr>
        <w:t>分别为：努力搞好保障性住房管理；集中力量做好不动产登记工作；进一步加强房地产市场监管；物业管理提档升级；进一步加大脱贫攻坚力度；全面解决遗留办证问题。这六个方面的工作思路基本符合客观实际，符合国家法律法规、国民经济和社会发展总体规划</w:t>
      </w:r>
      <w:r>
        <w:rPr>
          <w:rFonts w:ascii="仿宋_GB2312" w:hAnsi="宋体"/>
          <w:szCs w:val="30"/>
        </w:rPr>
        <w:t>，</w:t>
      </w:r>
      <w:r>
        <w:rPr>
          <w:rFonts w:hint="eastAsia" w:ascii="仿宋_GB2312" w:hAnsi="宋体"/>
          <w:szCs w:val="30"/>
        </w:rPr>
        <w:t>符合部门制定的中长期实施规划。</w:t>
      </w:r>
    </w:p>
    <w:p w14:paraId="4590F171">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2</w:t>
      </w:r>
      <w:r>
        <w:rPr>
          <w:rFonts w:hint="eastAsia" w:ascii="仿宋_GB2312"/>
          <w:b/>
          <w:kern w:val="0"/>
          <w:szCs w:val="30"/>
          <w:lang w:val="en-US" w:eastAsia="zh-CN"/>
        </w:rPr>
        <w:t>.</w:t>
      </w:r>
      <w:r>
        <w:rPr>
          <w:rFonts w:hint="eastAsia" w:ascii="仿宋_GB2312"/>
          <w:b/>
          <w:kern w:val="0"/>
          <w:szCs w:val="30"/>
        </w:rPr>
        <w:t>绩效指标明确性</w:t>
      </w:r>
    </w:p>
    <w:p w14:paraId="183C7F84">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县房管中心未制定清晰、细化、可衡量的绩效指标，未细化分解为具体的工作任务，工作思路多为定性而非定量的简单描述。</w:t>
      </w:r>
    </w:p>
    <w:bookmarkEnd w:id="53"/>
    <w:p w14:paraId="6E9CE116">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outlineLvl w:val="1"/>
        <w:rPr>
          <w:rFonts w:ascii="仿宋_GB2312"/>
          <w:b/>
          <w:kern w:val="0"/>
          <w:szCs w:val="30"/>
        </w:rPr>
      </w:pPr>
      <w:bookmarkStart w:id="57" w:name="_Toc26344"/>
      <w:bookmarkStart w:id="58" w:name="_Toc24073"/>
      <w:bookmarkStart w:id="59" w:name="_Toc5969"/>
      <w:r>
        <w:rPr>
          <w:rFonts w:hint="eastAsia" w:ascii="仿宋_GB2312"/>
          <w:b/>
          <w:kern w:val="0"/>
          <w:szCs w:val="30"/>
        </w:rPr>
        <w:t>（二）预算配置</w:t>
      </w:r>
      <w:bookmarkEnd w:id="57"/>
      <w:bookmarkEnd w:id="58"/>
      <w:bookmarkEnd w:id="59"/>
    </w:p>
    <w:p w14:paraId="4C01099E">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1</w:t>
      </w:r>
      <w:r>
        <w:rPr>
          <w:rFonts w:hint="eastAsia" w:ascii="仿宋_GB2312"/>
          <w:b/>
          <w:kern w:val="0"/>
          <w:szCs w:val="30"/>
          <w:lang w:val="en-US" w:eastAsia="zh-CN"/>
        </w:rPr>
        <w:t>.</w:t>
      </w:r>
      <w:r>
        <w:rPr>
          <w:rFonts w:hint="eastAsia" w:ascii="仿宋_GB2312"/>
          <w:b/>
          <w:kern w:val="0"/>
          <w:szCs w:val="30"/>
        </w:rPr>
        <w:t>在职人员控制率</w:t>
      </w:r>
    </w:p>
    <w:p w14:paraId="6279B87B">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县编办于2009年核定县房管中心编制人数24人，2019年末实际在编人数21人，在职人员控制率87.5%。</w:t>
      </w:r>
    </w:p>
    <w:p w14:paraId="736019F1">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lang w:val="en-US" w:eastAsia="zh-CN"/>
        </w:rPr>
        <w:t>2.</w:t>
      </w:r>
      <w:r>
        <w:rPr>
          <w:rFonts w:hint="eastAsia" w:ascii="仿宋_GB2312"/>
          <w:b/>
          <w:kern w:val="0"/>
          <w:szCs w:val="30"/>
          <w:lang w:eastAsia="zh-CN"/>
        </w:rPr>
        <w:t>“三公”经费</w:t>
      </w:r>
      <w:r>
        <w:rPr>
          <w:rFonts w:hint="eastAsia" w:ascii="仿宋_GB2312"/>
          <w:b/>
          <w:kern w:val="0"/>
          <w:szCs w:val="30"/>
        </w:rPr>
        <w:t>变动率</w:t>
      </w:r>
    </w:p>
    <w:p w14:paraId="560052E6">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县房管中心2019年度</w:t>
      </w:r>
      <w:r>
        <w:rPr>
          <w:rFonts w:hint="eastAsia" w:ascii="仿宋_GB2312" w:hAnsi="宋体"/>
          <w:szCs w:val="30"/>
          <w:lang w:eastAsia="zh-CN"/>
        </w:rPr>
        <w:t>“三公”经费</w:t>
      </w:r>
      <w:r>
        <w:rPr>
          <w:rFonts w:hint="eastAsia" w:ascii="仿宋_GB2312" w:hAnsi="宋体"/>
          <w:szCs w:val="30"/>
        </w:rPr>
        <w:t>预算数为70,000.00元，2018年度</w:t>
      </w:r>
      <w:r>
        <w:rPr>
          <w:rFonts w:hint="eastAsia" w:ascii="仿宋_GB2312" w:hAnsi="宋体"/>
          <w:szCs w:val="30"/>
          <w:lang w:eastAsia="zh-CN"/>
        </w:rPr>
        <w:t>“三公”经费</w:t>
      </w:r>
      <w:r>
        <w:rPr>
          <w:rFonts w:hint="eastAsia" w:ascii="仿宋_GB2312" w:hAnsi="宋体"/>
          <w:szCs w:val="30"/>
        </w:rPr>
        <w:t>预算数为75,000.00元，</w:t>
      </w:r>
      <w:r>
        <w:rPr>
          <w:rFonts w:hint="eastAsia" w:ascii="仿宋_GB2312" w:hAnsi="宋体"/>
          <w:szCs w:val="30"/>
          <w:lang w:eastAsia="zh-CN"/>
        </w:rPr>
        <w:t>“三公”经费</w:t>
      </w:r>
      <w:r>
        <w:rPr>
          <w:rFonts w:hint="eastAsia" w:ascii="仿宋_GB2312" w:hAnsi="宋体"/>
          <w:szCs w:val="30"/>
        </w:rPr>
        <w:t>变动率-6.67%。</w:t>
      </w:r>
    </w:p>
    <w:p w14:paraId="3A395F3B">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outlineLvl w:val="1"/>
        <w:rPr>
          <w:rFonts w:ascii="仿宋_GB2312"/>
          <w:b/>
          <w:kern w:val="0"/>
          <w:szCs w:val="30"/>
        </w:rPr>
      </w:pPr>
      <w:bookmarkStart w:id="60" w:name="_Toc27869"/>
      <w:bookmarkStart w:id="61" w:name="_Toc29351"/>
      <w:bookmarkStart w:id="62" w:name="_Toc20488"/>
      <w:r>
        <w:rPr>
          <w:rFonts w:hint="eastAsia" w:ascii="仿宋_GB2312"/>
          <w:b/>
          <w:kern w:val="0"/>
          <w:szCs w:val="30"/>
        </w:rPr>
        <w:t>（三）预算执行</w:t>
      </w:r>
      <w:bookmarkEnd w:id="60"/>
      <w:bookmarkEnd w:id="61"/>
      <w:bookmarkEnd w:id="62"/>
    </w:p>
    <w:p w14:paraId="1AC42476">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1</w:t>
      </w:r>
      <w:r>
        <w:rPr>
          <w:rFonts w:hint="eastAsia" w:ascii="仿宋_GB2312"/>
          <w:b/>
          <w:kern w:val="0"/>
          <w:szCs w:val="30"/>
          <w:lang w:val="en-US" w:eastAsia="zh-CN"/>
        </w:rPr>
        <w:t>.</w:t>
      </w:r>
      <w:r>
        <w:rPr>
          <w:rFonts w:hint="eastAsia" w:ascii="仿宋_GB2312"/>
          <w:b/>
          <w:kern w:val="0"/>
          <w:szCs w:val="30"/>
        </w:rPr>
        <w:t>预算完成率</w:t>
      </w:r>
      <w:bookmarkStart w:id="139" w:name="_GoBack"/>
      <w:bookmarkEnd w:id="139"/>
    </w:p>
    <w:p w14:paraId="3A1BBA28">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县房管中心年初预算结转结余1,350,000.00元，年初预算数为0，本年预算追加32,600,000.00元，本年年末预算结余为0，预算完成率100%。</w:t>
      </w:r>
    </w:p>
    <w:p w14:paraId="2CF8A04C">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2</w:t>
      </w:r>
      <w:r>
        <w:rPr>
          <w:rFonts w:hint="eastAsia" w:ascii="仿宋_GB2312"/>
          <w:b/>
          <w:kern w:val="0"/>
          <w:szCs w:val="30"/>
          <w:lang w:val="en-US" w:eastAsia="zh-CN"/>
        </w:rPr>
        <w:t>.</w:t>
      </w:r>
      <w:r>
        <w:rPr>
          <w:rFonts w:hint="eastAsia" w:ascii="仿宋_GB2312"/>
          <w:b/>
          <w:kern w:val="0"/>
          <w:szCs w:val="30"/>
        </w:rPr>
        <w:t>结转结余率</w:t>
      </w:r>
    </w:p>
    <w:p w14:paraId="3796C92C">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 xml:space="preserve"> 县房管中心2019年度年末无结余，结转结余率为0.00%。</w:t>
      </w:r>
    </w:p>
    <w:p w14:paraId="24BF5B1E">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3</w:t>
      </w:r>
      <w:r>
        <w:rPr>
          <w:rFonts w:hint="eastAsia" w:ascii="仿宋_GB2312"/>
          <w:b/>
          <w:kern w:val="0"/>
          <w:szCs w:val="30"/>
          <w:lang w:val="en-US" w:eastAsia="zh-CN"/>
        </w:rPr>
        <w:t>.</w:t>
      </w:r>
      <w:r>
        <w:rPr>
          <w:rFonts w:hint="eastAsia" w:ascii="仿宋_GB2312"/>
          <w:b/>
          <w:kern w:val="0"/>
          <w:szCs w:val="30"/>
          <w:lang w:eastAsia="zh-CN"/>
        </w:rPr>
        <w:t>“三公”经费</w:t>
      </w:r>
      <w:r>
        <w:rPr>
          <w:rFonts w:hint="eastAsia" w:ascii="仿宋_GB2312"/>
          <w:b/>
          <w:kern w:val="0"/>
          <w:szCs w:val="30"/>
        </w:rPr>
        <w:t>控制率</w:t>
      </w:r>
    </w:p>
    <w:p w14:paraId="0BEBC5AC">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县房管中心</w:t>
      </w:r>
      <w:r>
        <w:rPr>
          <w:rFonts w:hint="eastAsia" w:ascii="仿宋_GB2312" w:hAnsi="宋体"/>
          <w:szCs w:val="30"/>
          <w:lang w:eastAsia="zh-CN"/>
        </w:rPr>
        <w:t>“三公”经费</w:t>
      </w:r>
      <w:r>
        <w:rPr>
          <w:rFonts w:hint="eastAsia" w:ascii="仿宋_GB2312" w:hAnsi="宋体"/>
          <w:szCs w:val="30"/>
        </w:rPr>
        <w:t>2019年度预算数70,000.00元，实际执行数为39,925.07元，其中公务接待费用为2,596.00元，公务用车运行维护费用为37,329.07元，</w:t>
      </w:r>
      <w:r>
        <w:rPr>
          <w:rFonts w:hint="eastAsia" w:ascii="仿宋_GB2312" w:hAnsi="宋体"/>
          <w:szCs w:val="30"/>
          <w:lang w:eastAsia="zh-CN"/>
        </w:rPr>
        <w:t>“三公”经费</w:t>
      </w:r>
      <w:r>
        <w:rPr>
          <w:rFonts w:hint="eastAsia" w:ascii="仿宋_GB2312" w:hAnsi="宋体"/>
          <w:szCs w:val="30"/>
        </w:rPr>
        <w:t>控制率57.04%，控制良好。</w:t>
      </w:r>
    </w:p>
    <w:p w14:paraId="5A91502A">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4</w:t>
      </w:r>
      <w:r>
        <w:rPr>
          <w:rFonts w:hint="eastAsia" w:ascii="仿宋_GB2312"/>
          <w:b/>
          <w:kern w:val="0"/>
          <w:szCs w:val="30"/>
          <w:lang w:val="en-US" w:eastAsia="zh-CN"/>
        </w:rPr>
        <w:t>.</w:t>
      </w:r>
      <w:r>
        <w:rPr>
          <w:rFonts w:hint="eastAsia" w:ascii="仿宋_GB2312"/>
          <w:b/>
          <w:kern w:val="0"/>
          <w:szCs w:val="30"/>
        </w:rPr>
        <w:t>政府采购合规性</w:t>
      </w:r>
    </w:p>
    <w:p w14:paraId="7860AA00">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 xml:space="preserve">县房管中心严格按照政府采购目录和标准执行政府采购，但存在资产采购合同无单位盖章，收单上无单位或验收人员的盖章或签字的情况。    </w:t>
      </w:r>
    </w:p>
    <w:p w14:paraId="004237F3">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outlineLvl w:val="1"/>
        <w:rPr>
          <w:rFonts w:ascii="仿宋_GB2312"/>
          <w:b/>
          <w:kern w:val="0"/>
          <w:szCs w:val="30"/>
        </w:rPr>
      </w:pPr>
      <w:bookmarkStart w:id="63" w:name="_Toc32034"/>
      <w:bookmarkStart w:id="64" w:name="_Toc21252"/>
      <w:bookmarkStart w:id="65" w:name="_Toc28786"/>
      <w:r>
        <w:rPr>
          <w:rFonts w:hint="eastAsia" w:ascii="仿宋_GB2312"/>
          <w:b/>
          <w:kern w:val="0"/>
          <w:szCs w:val="30"/>
        </w:rPr>
        <w:t>（四）财务管理</w:t>
      </w:r>
      <w:bookmarkEnd w:id="63"/>
      <w:bookmarkEnd w:id="64"/>
      <w:bookmarkEnd w:id="65"/>
    </w:p>
    <w:p w14:paraId="5A64AE26">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1</w:t>
      </w:r>
      <w:r>
        <w:rPr>
          <w:rFonts w:hint="eastAsia" w:ascii="仿宋_GB2312"/>
          <w:b/>
          <w:kern w:val="0"/>
          <w:szCs w:val="30"/>
          <w:lang w:val="en-US" w:eastAsia="zh-CN"/>
        </w:rPr>
        <w:t>.</w:t>
      </w:r>
      <w:r>
        <w:rPr>
          <w:rFonts w:hint="eastAsia" w:ascii="仿宋_GB2312"/>
          <w:b/>
          <w:kern w:val="0"/>
          <w:szCs w:val="30"/>
        </w:rPr>
        <w:t>资金使用合规性</w:t>
      </w:r>
    </w:p>
    <w:p w14:paraId="468B63A2">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县房管中心制定了《巫溪县房屋管理服务中心内部控制制度》，涵盖资金使用方面的制度规定，用于加强预算管理、规范财务行为，保证资金使用合法合规，科学统筹安排各项资金。经查财务资料，资金使用基本合规。根据《巫溪县房屋管理服务中心内部控制制度》的“日常结报”程序，日常报销需要相应的签字审批，但存在2019-2-19号凭证后附采购计划表无审批人签字的情况，导致资金使用流程不合规。</w:t>
      </w:r>
    </w:p>
    <w:p w14:paraId="7308649F">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2</w:t>
      </w:r>
      <w:r>
        <w:rPr>
          <w:rFonts w:hint="eastAsia" w:ascii="仿宋_GB2312"/>
          <w:b/>
          <w:kern w:val="0"/>
          <w:szCs w:val="30"/>
          <w:lang w:val="en-US" w:eastAsia="zh-CN"/>
        </w:rPr>
        <w:t>.</w:t>
      </w:r>
      <w:r>
        <w:rPr>
          <w:rFonts w:hint="eastAsia" w:ascii="仿宋_GB2312"/>
          <w:b/>
          <w:kern w:val="0"/>
          <w:szCs w:val="30"/>
        </w:rPr>
        <w:t>基础信息完善性</w:t>
      </w:r>
    </w:p>
    <w:p w14:paraId="27C8CF44">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通过核查会计凭证、账簿及其他财务资料，基础信息基本真实、完整、准确。</w:t>
      </w:r>
    </w:p>
    <w:p w14:paraId="47DB3078">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outlineLvl w:val="1"/>
        <w:rPr>
          <w:rFonts w:hint="eastAsia" w:ascii="仿宋_GB2312"/>
          <w:b/>
          <w:kern w:val="0"/>
          <w:szCs w:val="30"/>
        </w:rPr>
      </w:pPr>
      <w:bookmarkStart w:id="66" w:name="_Toc25962"/>
      <w:bookmarkStart w:id="67" w:name="_Toc22125"/>
      <w:bookmarkStart w:id="68" w:name="_Toc29423"/>
      <w:bookmarkStart w:id="69" w:name="_Toc6355"/>
      <w:bookmarkStart w:id="70" w:name="_Toc20922"/>
      <w:bookmarkStart w:id="71" w:name="_Toc3971"/>
      <w:r>
        <w:rPr>
          <w:rFonts w:hint="eastAsia" w:ascii="仿宋_GB2312"/>
          <w:b/>
          <w:kern w:val="0"/>
          <w:szCs w:val="30"/>
        </w:rPr>
        <w:t>（五）资产管理</w:t>
      </w:r>
      <w:bookmarkEnd w:id="66"/>
      <w:bookmarkEnd w:id="67"/>
      <w:bookmarkEnd w:id="68"/>
    </w:p>
    <w:p w14:paraId="2081D8DE">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1</w:t>
      </w:r>
      <w:r>
        <w:rPr>
          <w:rFonts w:hint="eastAsia" w:ascii="仿宋_GB2312"/>
          <w:b/>
          <w:kern w:val="0"/>
          <w:szCs w:val="30"/>
          <w:lang w:val="en-US" w:eastAsia="zh-CN"/>
        </w:rPr>
        <w:t>.</w:t>
      </w:r>
      <w:r>
        <w:rPr>
          <w:rFonts w:hint="eastAsia" w:ascii="仿宋_GB2312"/>
          <w:b/>
          <w:kern w:val="0"/>
          <w:szCs w:val="30"/>
        </w:rPr>
        <w:t>管理制度健全性</w:t>
      </w:r>
    </w:p>
    <w:p w14:paraId="6C6166EB">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 xml:space="preserve">根据《巫溪县房屋管理服务中心内部控制制度》，单位已建立相应的资产管理制度，且资产管理制度合法、合规，基本按照资产管理制度执行。 </w:t>
      </w:r>
    </w:p>
    <w:p w14:paraId="44DC6FCD">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2</w:t>
      </w:r>
      <w:r>
        <w:rPr>
          <w:rFonts w:hint="eastAsia" w:ascii="仿宋_GB2312"/>
          <w:b/>
          <w:kern w:val="0"/>
          <w:szCs w:val="30"/>
          <w:lang w:val="en-US" w:eastAsia="zh-CN"/>
        </w:rPr>
        <w:t>.</w:t>
      </w:r>
      <w:r>
        <w:rPr>
          <w:rFonts w:hint="eastAsia" w:ascii="仿宋_GB2312"/>
          <w:b/>
          <w:kern w:val="0"/>
          <w:szCs w:val="30"/>
        </w:rPr>
        <w:t>资产管理安全性</w:t>
      </w:r>
    </w:p>
    <w:p w14:paraId="2E872F46">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根据《巫溪县房屋管理服务中心内部控制制度》，单位资产保存完整，资产管理基本按资产管理制度执行。但单位以前年度建设完成的公共租赁房屋均已投入使用，经过检查相关的财务资料，公共租赁房屋一直按在建工程科目核算，未及时转入固定资产并按固定资产进行管理，不利于资产价值的核算及折旧管理。根据《基本建设财务规则》项目竣工验收合格后应当及时办理资产交付使用手续，已交付使用但尚未办理竣工决算手续的固定资产，应当按照估计价值入账，待办理竣工决算后再按实际成本调整原来的暂估价值……竣工价款结算一般应当在项目竣工验收后2个月内完成，大型项目一般不得超过3个月。</w:t>
      </w:r>
    </w:p>
    <w:p w14:paraId="68BBCFB3">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3</w:t>
      </w:r>
      <w:r>
        <w:rPr>
          <w:rFonts w:hint="eastAsia" w:ascii="仿宋_GB2312"/>
          <w:b/>
          <w:kern w:val="0"/>
          <w:szCs w:val="30"/>
          <w:lang w:val="en-US" w:eastAsia="zh-CN"/>
        </w:rPr>
        <w:t>.</w:t>
      </w:r>
      <w:r>
        <w:rPr>
          <w:rFonts w:hint="eastAsia" w:ascii="仿宋_GB2312"/>
          <w:b/>
          <w:kern w:val="0"/>
          <w:szCs w:val="30"/>
        </w:rPr>
        <w:t>固定资产利用率</w:t>
      </w:r>
    </w:p>
    <w:p w14:paraId="16CA701E">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通过现场抽查、观察、询问，暂未发现县房管中心长期闲置或废弃的固定资产，所有固定资产均已入账并建立固定资产台账，固定资产使用率较高。</w:t>
      </w:r>
    </w:p>
    <w:p w14:paraId="6EC1235D">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outlineLvl w:val="1"/>
        <w:rPr>
          <w:rFonts w:ascii="仿宋_GB2312"/>
          <w:b/>
          <w:kern w:val="0"/>
          <w:szCs w:val="30"/>
        </w:rPr>
      </w:pPr>
      <w:r>
        <w:rPr>
          <w:rFonts w:hint="eastAsia" w:ascii="仿宋_GB2312"/>
          <w:b/>
          <w:kern w:val="0"/>
          <w:szCs w:val="30"/>
        </w:rPr>
        <w:t>（六）业务管理</w:t>
      </w:r>
      <w:bookmarkEnd w:id="69"/>
      <w:bookmarkEnd w:id="70"/>
      <w:bookmarkEnd w:id="71"/>
    </w:p>
    <w:p w14:paraId="1CC2FA74">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1</w:t>
      </w:r>
      <w:r>
        <w:rPr>
          <w:rFonts w:hint="eastAsia" w:ascii="仿宋_GB2312"/>
          <w:b/>
          <w:kern w:val="0"/>
          <w:szCs w:val="30"/>
          <w:lang w:val="en-US" w:eastAsia="zh-CN"/>
        </w:rPr>
        <w:t>.</w:t>
      </w:r>
      <w:r>
        <w:rPr>
          <w:rFonts w:hint="eastAsia" w:ascii="仿宋_GB2312"/>
          <w:b/>
          <w:kern w:val="0"/>
          <w:szCs w:val="30"/>
        </w:rPr>
        <w:t>管理制度健全性</w:t>
      </w:r>
    </w:p>
    <w:p w14:paraId="44087877">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根据《巫溪县房屋管理服务中心关于印发科室岗位职责及办事流程的通知》（溪房管发〔2019〕3号），各个业务科室都建立了岗位职责和工作流程，管理制度健全。</w:t>
      </w:r>
    </w:p>
    <w:p w14:paraId="32246AB9">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2</w:t>
      </w:r>
      <w:r>
        <w:rPr>
          <w:rFonts w:hint="eastAsia" w:ascii="仿宋_GB2312"/>
          <w:b/>
          <w:kern w:val="0"/>
          <w:szCs w:val="30"/>
          <w:lang w:val="en-US" w:eastAsia="zh-CN"/>
        </w:rPr>
        <w:t>.</w:t>
      </w:r>
      <w:r>
        <w:rPr>
          <w:rFonts w:hint="eastAsia" w:ascii="仿宋_GB2312"/>
          <w:b/>
          <w:kern w:val="0"/>
          <w:szCs w:val="30"/>
        </w:rPr>
        <w:t>制度执行有效性</w:t>
      </w:r>
    </w:p>
    <w:p w14:paraId="67B787CE">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各个科室都根据《巫溪县房屋管理服务中心关于印发科室岗位职责及办事流程的通知》（溪房管发〔2019〕3号）的文件内容并结合《巫溪县房屋管理服务中心内部控制制度》以及本科室（如物业科制定的《专项资金归集流程》</w:t>
      </w:r>
      <w:r>
        <w:rPr>
          <w:rFonts w:hint="eastAsia" w:ascii="仿宋_GB2312" w:hAnsi="宋体"/>
          <w:szCs w:val="30"/>
          <w:lang w:eastAsia="zh-CN"/>
        </w:rPr>
        <w:t>、</w:t>
      </w:r>
      <w:r>
        <w:rPr>
          <w:rFonts w:hint="eastAsia" w:ascii="仿宋_GB2312" w:hAnsi="宋体"/>
          <w:szCs w:val="30"/>
        </w:rPr>
        <w:t>《专项维修资金支取流程》</w:t>
      </w:r>
      <w:r>
        <w:rPr>
          <w:rFonts w:hint="eastAsia" w:ascii="仿宋_GB2312" w:hAnsi="宋体"/>
          <w:szCs w:val="30"/>
          <w:lang w:eastAsia="zh-CN"/>
        </w:rPr>
        <w:t>、</w:t>
      </w:r>
      <w:r>
        <w:rPr>
          <w:rFonts w:hint="eastAsia" w:ascii="仿宋_GB2312" w:hAnsi="宋体"/>
          <w:szCs w:val="30"/>
        </w:rPr>
        <w:t>《物业科工作流程》）的文件执行本科室的工作，制度执行有效。但财务科未按内控制度要求编制年度财务总结报告，制度执行不到位。</w:t>
      </w:r>
    </w:p>
    <w:p w14:paraId="1A3D5468">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3</w:t>
      </w:r>
      <w:r>
        <w:rPr>
          <w:rFonts w:hint="eastAsia" w:ascii="仿宋_GB2312"/>
          <w:b/>
          <w:kern w:val="0"/>
          <w:szCs w:val="30"/>
          <w:lang w:val="en-US" w:eastAsia="zh-CN"/>
        </w:rPr>
        <w:t>.</w:t>
      </w:r>
      <w:r>
        <w:rPr>
          <w:rFonts w:hint="eastAsia" w:ascii="仿宋_GB2312"/>
          <w:b/>
          <w:kern w:val="0"/>
          <w:szCs w:val="30"/>
        </w:rPr>
        <w:t>工程项目管理</w:t>
      </w:r>
    </w:p>
    <w:p w14:paraId="740950D4">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根据现场走访及查阅相关项目资料，县房管中心实施的工程项目基本符合相关管理规定。但存在以下问题：一是查看到白马小区配套设施建设工程的监理日志上极少有监理人签字；二是该项目计划工期180天，结合现场实地勘察以及与项目负责人访谈了解到，项目预计2020年11月份完工，完工时间显著延迟，据项目负责人解释主要系新冠</w:t>
      </w:r>
      <w:r>
        <w:rPr>
          <w:rFonts w:hint="eastAsia" w:ascii="仿宋_GB2312" w:hAnsi="宋体"/>
          <w:szCs w:val="30"/>
          <w:lang w:val="en-US" w:eastAsia="zh-CN"/>
        </w:rPr>
        <w:t>肺炎</w:t>
      </w:r>
      <w:r>
        <w:rPr>
          <w:rFonts w:hint="eastAsia" w:ascii="仿宋_GB2312" w:hAnsi="宋体"/>
          <w:szCs w:val="30"/>
        </w:rPr>
        <w:t>疫情和雨季所致；三是金穗雅苑廉租住房小区基础设施配套工程的部分档案资料管理不规范，岩土勘察的资料归入其他项目资料中。</w:t>
      </w:r>
    </w:p>
    <w:p w14:paraId="745BE82E">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outlineLvl w:val="1"/>
        <w:rPr>
          <w:rFonts w:hint="eastAsia" w:ascii="仿宋_GB2312"/>
          <w:b/>
          <w:kern w:val="0"/>
          <w:szCs w:val="30"/>
        </w:rPr>
      </w:pPr>
      <w:bookmarkStart w:id="72" w:name="_Toc21305"/>
      <w:bookmarkStart w:id="73" w:name="_Toc13553"/>
      <w:bookmarkStart w:id="74" w:name="_Toc8479"/>
      <w:r>
        <w:rPr>
          <w:rFonts w:hint="eastAsia" w:ascii="仿宋_GB2312"/>
          <w:b/>
          <w:kern w:val="0"/>
          <w:szCs w:val="30"/>
        </w:rPr>
        <w:t>（七）职责履行</w:t>
      </w:r>
      <w:bookmarkEnd w:id="72"/>
      <w:bookmarkEnd w:id="73"/>
      <w:bookmarkEnd w:id="74"/>
    </w:p>
    <w:p w14:paraId="18DDD860">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1</w:t>
      </w:r>
      <w:r>
        <w:rPr>
          <w:rFonts w:hint="eastAsia" w:ascii="仿宋_GB2312"/>
          <w:b/>
          <w:kern w:val="0"/>
          <w:szCs w:val="30"/>
          <w:lang w:val="en-US" w:eastAsia="zh-CN"/>
        </w:rPr>
        <w:t>.</w:t>
      </w:r>
      <w:r>
        <w:rPr>
          <w:rFonts w:hint="eastAsia" w:ascii="仿宋_GB2312"/>
          <w:b/>
          <w:kern w:val="0"/>
          <w:szCs w:val="30"/>
        </w:rPr>
        <w:t>租金上缴财政</w:t>
      </w:r>
    </w:p>
    <w:p w14:paraId="400ABDB1">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县房管中心委托重庆市两江物业管理有限公司对巫溪县城新建的公共租赁房的租金进行收取，委托乡政府对各乡</w:t>
      </w:r>
      <w:r>
        <w:rPr>
          <w:rFonts w:hint="eastAsia" w:ascii="仿宋_GB2312" w:hAnsi="宋体"/>
          <w:szCs w:val="30"/>
          <w:lang w:eastAsia="zh-CN"/>
        </w:rPr>
        <w:t>镇</w:t>
      </w:r>
      <w:r>
        <w:rPr>
          <w:rFonts w:hint="eastAsia" w:ascii="仿宋_GB2312" w:hAnsi="宋体"/>
          <w:szCs w:val="30"/>
        </w:rPr>
        <w:t>的公共租赁房的租金进行收取，管理协议明确要求受托方配合县房管中心的要求按时收取公共租赁住房、配套物业租金，并及时存入县房管中心的指定账户，在实际运行过程中每季度缴存一次，若遇小区集中办理入住手续则按照当月月底对账</w:t>
      </w:r>
      <w:r>
        <w:rPr>
          <w:rFonts w:hint="eastAsia" w:ascii="仿宋_GB2312" w:hAnsi="宋体"/>
          <w:szCs w:val="30"/>
          <w:lang w:eastAsia="zh-CN"/>
        </w:rPr>
        <w:t>、</w:t>
      </w:r>
      <w:r>
        <w:rPr>
          <w:rFonts w:hint="eastAsia" w:ascii="仿宋_GB2312" w:hAnsi="宋体"/>
          <w:szCs w:val="30"/>
        </w:rPr>
        <w:t>次月月初缴款入库。但通过与住房保障科工作人员访谈得知乡镇公共租赁房存在抗租现象，有群众直接搬入公共租赁房居住，并拒绝缴纳租金，严重影响公共租赁房运行秩序，造成不良影响。</w:t>
      </w:r>
    </w:p>
    <w:p w14:paraId="3B3728F0">
      <w:pPr>
        <w:pStyle w:val="15"/>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2</w:t>
      </w:r>
      <w:r>
        <w:rPr>
          <w:rFonts w:hint="eastAsia" w:ascii="仿宋_GB2312"/>
          <w:b/>
          <w:kern w:val="0"/>
          <w:szCs w:val="30"/>
          <w:lang w:val="en-US" w:eastAsia="zh-CN"/>
        </w:rPr>
        <w:t>.</w:t>
      </w:r>
      <w:r>
        <w:rPr>
          <w:rFonts w:hint="eastAsia" w:ascii="仿宋_GB2312"/>
          <w:b/>
          <w:kern w:val="0"/>
          <w:szCs w:val="30"/>
        </w:rPr>
        <w:t>公共租赁住房配套设施建设</w:t>
      </w:r>
    </w:p>
    <w:p w14:paraId="08263371">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通过现场走访查看，部分配套设施涉及到的绿化、步道、公路、车库等配套设施建设正在有序开展，但金穗雅苑公共租赁房已建好的门禁系统使用率不高，绝大多数单元门都是敞开状态，门禁系统成为一个摆设，无法发挥其价值，浪费了财政资金。</w:t>
      </w:r>
    </w:p>
    <w:p w14:paraId="0FF2B893">
      <w:pPr>
        <w:pStyle w:val="15"/>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3</w:t>
      </w:r>
      <w:r>
        <w:rPr>
          <w:rFonts w:hint="eastAsia" w:ascii="仿宋_GB2312"/>
          <w:b/>
          <w:kern w:val="0"/>
          <w:szCs w:val="30"/>
          <w:lang w:val="en-US" w:eastAsia="zh-CN"/>
        </w:rPr>
        <w:t>.</w:t>
      </w:r>
      <w:r>
        <w:rPr>
          <w:rFonts w:hint="eastAsia" w:ascii="仿宋_GB2312"/>
          <w:b/>
          <w:kern w:val="0"/>
          <w:szCs w:val="30"/>
        </w:rPr>
        <w:t>公共租赁住房日常维护</w:t>
      </w:r>
    </w:p>
    <w:p w14:paraId="1727F027">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县房管中心委托重庆市两江物业管理有限公司对巫溪县城新建的公共租赁住房进行日常维护，委托乡</w:t>
      </w:r>
      <w:r>
        <w:rPr>
          <w:rFonts w:hint="eastAsia" w:ascii="仿宋_GB2312" w:hAnsi="宋体"/>
          <w:szCs w:val="30"/>
          <w:lang w:eastAsia="zh-CN"/>
        </w:rPr>
        <w:t>镇</w:t>
      </w:r>
      <w:r>
        <w:rPr>
          <w:rFonts w:hint="eastAsia" w:ascii="仿宋_GB2312" w:hAnsi="宋体"/>
          <w:szCs w:val="30"/>
        </w:rPr>
        <w:t>政府对各乡的公共租赁住房进行日常维护，但并未对受托方的维护内容和质量进行有效监督和考核，日常维护质量无从考评</w:t>
      </w:r>
      <w:r>
        <w:rPr>
          <w:rFonts w:hint="eastAsia" w:ascii="仿宋_GB2312" w:hAnsi="宋体"/>
          <w:szCs w:val="30"/>
          <w:lang w:eastAsia="zh-CN"/>
        </w:rPr>
        <w:t>。</w:t>
      </w:r>
      <w:r>
        <w:rPr>
          <w:rFonts w:hint="eastAsia" w:ascii="仿宋_GB2312" w:hAnsi="宋体"/>
          <w:szCs w:val="30"/>
        </w:rPr>
        <w:t>通过走访调查，有租户反映白马小区存在乱扔垃圾，未及时清理，以及楼道楼梯出现裂缝，未及时修补的情况。</w:t>
      </w:r>
    </w:p>
    <w:p w14:paraId="0CC756B2">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4</w:t>
      </w:r>
      <w:r>
        <w:rPr>
          <w:rFonts w:hint="eastAsia" w:ascii="仿宋_GB2312"/>
          <w:b/>
          <w:kern w:val="0"/>
          <w:szCs w:val="30"/>
          <w:lang w:val="en-US" w:eastAsia="zh-CN"/>
        </w:rPr>
        <w:t>.</w:t>
      </w:r>
      <w:r>
        <w:rPr>
          <w:rFonts w:hint="eastAsia" w:ascii="仿宋_GB2312"/>
          <w:b/>
          <w:kern w:val="0"/>
          <w:szCs w:val="30"/>
        </w:rPr>
        <w:t>房地产市场监管</w:t>
      </w:r>
    </w:p>
    <w:p w14:paraId="2D1FD54F">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市场监管科负责监管房屋市场中介机构风险，日常安全监督巡查工作根据需要灵活开展，一旦发现问题，责令整改</w:t>
      </w:r>
      <w:r>
        <w:rPr>
          <w:rFonts w:hint="eastAsia" w:ascii="仿宋_GB2312" w:hAnsi="宋体"/>
          <w:szCs w:val="30"/>
          <w:lang w:eastAsia="zh-CN"/>
        </w:rPr>
        <w:t>。</w:t>
      </w:r>
      <w:r>
        <w:rPr>
          <w:rFonts w:hint="eastAsia" w:ascii="仿宋_GB2312" w:hAnsi="宋体"/>
          <w:szCs w:val="30"/>
        </w:rPr>
        <w:t>经查阅相关资料、走访询问以及从网上搜索信息，整个房屋市场稳定有序，无恶性事件发生，房地产市场监管有效。</w:t>
      </w:r>
    </w:p>
    <w:p w14:paraId="2C5B3B68">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5</w:t>
      </w:r>
      <w:r>
        <w:rPr>
          <w:rFonts w:hint="eastAsia" w:ascii="仿宋_GB2312"/>
          <w:b/>
          <w:kern w:val="0"/>
          <w:szCs w:val="30"/>
          <w:lang w:val="en-US" w:eastAsia="zh-CN"/>
        </w:rPr>
        <w:t>.</w:t>
      </w:r>
      <w:r>
        <w:rPr>
          <w:rFonts w:hint="eastAsia" w:ascii="仿宋_GB2312"/>
          <w:b/>
          <w:kern w:val="0"/>
          <w:szCs w:val="30"/>
        </w:rPr>
        <w:t>物业公司安全检查</w:t>
      </w:r>
    </w:p>
    <w:p w14:paraId="0F06B113">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根据《巫溪县房屋管理服务中心关于印发科室岗位职责及办事流程的通知》（溪房管发〔2019〕3号）文件，以及《物业科工作流程》的规定，县物业管理科针对所辖15家物业公司，涵盖48家小区，按季度开展安全检查，检查范围涵盖消防安全、电梯安全、化粪池安全以及其他电气安全等方面，发现问题责令限期整改，安全检查文件保存完好，但缺乏检查台账，不利于规范业务流程。</w:t>
      </w:r>
    </w:p>
    <w:p w14:paraId="0088362F">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6</w:t>
      </w:r>
      <w:r>
        <w:rPr>
          <w:rFonts w:hint="eastAsia" w:ascii="仿宋_GB2312"/>
          <w:b/>
          <w:kern w:val="0"/>
          <w:szCs w:val="30"/>
          <w:lang w:val="en-US" w:eastAsia="zh-CN"/>
        </w:rPr>
        <w:t>.</w:t>
      </w:r>
      <w:r>
        <w:rPr>
          <w:rFonts w:hint="eastAsia" w:ascii="仿宋_GB2312"/>
          <w:b/>
          <w:kern w:val="0"/>
          <w:szCs w:val="30"/>
        </w:rPr>
        <w:t>物业服务管理培训</w:t>
      </w:r>
    </w:p>
    <w:p w14:paraId="18B3702C">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根据《巫溪县房屋管理服务中心关于印发科室岗位职责及办事流程的通知》（溪房管发〔2019〕3号）文件，以及《物业科工作流程》的规定，县物业管理科针对所辖15家物业公司按实际政策文件下达情况或者实际需要开展物业管理培训，每次培训都有相应与会人员到会签字，并对培训纪要、会议图片以及相关的文档资料做了妥善存档，现场查看实际培训次数为4次。</w:t>
      </w:r>
    </w:p>
    <w:p w14:paraId="09A1BDFA">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7</w:t>
      </w:r>
      <w:r>
        <w:rPr>
          <w:rFonts w:hint="eastAsia" w:ascii="仿宋_GB2312"/>
          <w:b/>
          <w:kern w:val="0"/>
          <w:szCs w:val="30"/>
          <w:lang w:val="en-US" w:eastAsia="zh-CN"/>
        </w:rPr>
        <w:t>.</w:t>
      </w:r>
      <w:r>
        <w:rPr>
          <w:rFonts w:hint="eastAsia" w:ascii="仿宋_GB2312"/>
          <w:b/>
          <w:kern w:val="0"/>
          <w:szCs w:val="30"/>
        </w:rPr>
        <w:t>专项资金收缴和使用</w:t>
      </w:r>
      <w:bookmarkStart w:id="75" w:name="_Toc447603210"/>
      <w:bookmarkStart w:id="76" w:name="_Toc313641002"/>
      <w:bookmarkStart w:id="77" w:name="_Toc415756500"/>
    </w:p>
    <w:p w14:paraId="16E2A7E0">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根据《重庆市专项维修资金管理办法》、《专项资金归集流程》、《专项维修资金支取流程》，县</w:t>
      </w:r>
      <w:r>
        <w:rPr>
          <w:rFonts w:hint="eastAsia" w:ascii="仿宋_GB2312" w:hAnsi="宋体"/>
          <w:szCs w:val="30"/>
          <w:lang w:eastAsia="zh-CN"/>
        </w:rPr>
        <w:t>房管中心</w:t>
      </w:r>
      <w:r>
        <w:rPr>
          <w:rFonts w:hint="eastAsia" w:ascii="仿宋_GB2312" w:hAnsi="宋体"/>
          <w:szCs w:val="30"/>
        </w:rPr>
        <w:t>物业管理科按照相关程序进行物业专项资金的收缴和使用管理，且相关资料保存完整。但仍存在管理不到位的情况：一是通过交谈发现部分开发商收取购房者的物业专项资金后迟迟未上缴，导致物业专项资金不能及时上缴，而物业科无执法权，不能进行有效控制；二是2019年物业专项资金交款系统新增金额45,919,907.80元，实际账务处理金额45,059,478.40元，差异860,429.40元，主要原因系经办人员在该物业专项资金上缴时（于2019年6月24日转存752,683.80元，2019年7月3日转存74,192.00元和33,553.60元）误转存到单位原尾号为1473的农业银行账户中，该账户因特殊原因暂未使用，相关账务暂时无法处理。</w:t>
      </w:r>
    </w:p>
    <w:p w14:paraId="43A1FC43">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ascii="仿宋_GB2312"/>
          <w:b/>
          <w:kern w:val="0"/>
          <w:szCs w:val="30"/>
        </w:rPr>
      </w:pPr>
      <w:r>
        <w:rPr>
          <w:rFonts w:hint="eastAsia" w:ascii="仿宋_GB2312"/>
          <w:b/>
          <w:kern w:val="0"/>
          <w:szCs w:val="30"/>
        </w:rPr>
        <w:t>8</w:t>
      </w:r>
      <w:r>
        <w:rPr>
          <w:rFonts w:hint="eastAsia" w:ascii="仿宋_GB2312"/>
          <w:b/>
          <w:kern w:val="0"/>
          <w:szCs w:val="30"/>
          <w:lang w:val="en-US" w:eastAsia="zh-CN"/>
        </w:rPr>
        <w:t>.</w:t>
      </w:r>
      <w:r>
        <w:rPr>
          <w:rFonts w:hint="eastAsia" w:ascii="仿宋_GB2312"/>
          <w:b/>
          <w:kern w:val="0"/>
          <w:szCs w:val="30"/>
        </w:rPr>
        <w:t>城镇房屋安全管理</w:t>
      </w:r>
    </w:p>
    <w:p w14:paraId="2FBBB067">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ascii="仿宋_GB2312" w:hAnsi="宋体"/>
          <w:szCs w:val="30"/>
        </w:rPr>
      </w:pPr>
      <w:r>
        <w:rPr>
          <w:rFonts w:hint="eastAsia" w:ascii="仿宋_GB2312" w:hAnsi="宋体"/>
          <w:szCs w:val="30"/>
        </w:rPr>
        <w:t>房屋安全鉴定办公室组织开展区域内房屋安全隐患排查，对人口密集场所、学校、医院周围进行重点排查，对全县各乡镇排查出来的320幢疑似危房全部进行了危房鉴定工作，并出具了320份危房鉴定报告。截</w:t>
      </w:r>
      <w:r>
        <w:rPr>
          <w:rFonts w:hint="eastAsia" w:ascii="仿宋_GB2312" w:hAnsi="宋体"/>
          <w:szCs w:val="30"/>
          <w:lang w:val="en-US" w:eastAsia="zh-CN"/>
        </w:rPr>
        <w:t>至</w:t>
      </w:r>
      <w:r>
        <w:rPr>
          <w:rFonts w:hint="eastAsia" w:ascii="仿宋_GB2312" w:hAnsi="宋体"/>
          <w:szCs w:val="30"/>
        </w:rPr>
        <w:t>2019年底</w:t>
      </w:r>
      <w:r>
        <w:rPr>
          <w:rFonts w:hint="eastAsia" w:ascii="仿宋_GB2312" w:hAnsi="宋体"/>
          <w:szCs w:val="30"/>
          <w:lang w:eastAsia="zh-CN"/>
        </w:rPr>
        <w:t>，</w:t>
      </w:r>
      <w:r>
        <w:rPr>
          <w:rFonts w:hint="eastAsia" w:ascii="仿宋_GB2312" w:hAnsi="宋体"/>
          <w:szCs w:val="30"/>
        </w:rPr>
        <w:t>全县尚未发生房屋安全事故，城镇房屋安全管理有效。</w:t>
      </w:r>
    </w:p>
    <w:p w14:paraId="0BFDF728">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outlineLvl w:val="1"/>
        <w:rPr>
          <w:rFonts w:hint="eastAsia" w:ascii="仿宋_GB2312"/>
          <w:b/>
          <w:kern w:val="0"/>
          <w:szCs w:val="30"/>
        </w:rPr>
      </w:pPr>
      <w:bookmarkStart w:id="78" w:name="_Toc3058"/>
      <w:bookmarkStart w:id="79" w:name="_Toc31718"/>
      <w:r>
        <w:rPr>
          <w:rFonts w:hint="eastAsia" w:ascii="仿宋_GB2312"/>
          <w:b/>
          <w:kern w:val="0"/>
          <w:szCs w:val="30"/>
        </w:rPr>
        <w:t>（八）履职效益</w:t>
      </w:r>
      <w:bookmarkEnd w:id="78"/>
      <w:bookmarkEnd w:id="79"/>
    </w:p>
    <w:p w14:paraId="43C63C4A">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hint="eastAsia" w:ascii="仿宋_GB2312" w:hAnsi="宋体"/>
          <w:b/>
          <w:bCs/>
          <w:szCs w:val="30"/>
        </w:rPr>
      </w:pPr>
      <w:r>
        <w:rPr>
          <w:rFonts w:hint="eastAsia" w:ascii="仿宋_GB2312" w:hAnsi="宋体"/>
          <w:b/>
          <w:bCs/>
          <w:szCs w:val="30"/>
        </w:rPr>
        <w:t>1</w:t>
      </w:r>
      <w:r>
        <w:rPr>
          <w:rFonts w:hint="eastAsia" w:ascii="仿宋_GB2312" w:hAnsi="宋体"/>
          <w:b/>
          <w:bCs/>
          <w:szCs w:val="30"/>
          <w:lang w:val="en-US" w:eastAsia="zh-CN"/>
        </w:rPr>
        <w:t>.</w:t>
      </w:r>
      <w:r>
        <w:rPr>
          <w:rFonts w:hint="eastAsia" w:ascii="仿宋_GB2312" w:hAnsi="宋体"/>
          <w:b/>
          <w:bCs/>
          <w:szCs w:val="30"/>
        </w:rPr>
        <w:t>公共租赁房的分配率</w:t>
      </w:r>
    </w:p>
    <w:p w14:paraId="57DFB798">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hint="eastAsia" w:ascii="仿宋_GB2312" w:hAnsi="宋体"/>
          <w:szCs w:val="30"/>
        </w:rPr>
      </w:pPr>
      <w:r>
        <w:rPr>
          <w:rFonts w:hint="eastAsia" w:ascii="仿宋_GB2312" w:hAnsi="宋体"/>
          <w:szCs w:val="30"/>
        </w:rPr>
        <w:t>通过获取住房保障科截</w:t>
      </w:r>
      <w:r>
        <w:rPr>
          <w:rFonts w:hint="eastAsia" w:ascii="仿宋_GB2312" w:hAnsi="宋体"/>
          <w:szCs w:val="30"/>
          <w:lang w:val="en-US" w:eastAsia="zh-CN"/>
        </w:rPr>
        <w:t>至</w:t>
      </w:r>
      <w:r>
        <w:rPr>
          <w:rFonts w:hint="eastAsia" w:ascii="仿宋_GB2312" w:hAnsi="宋体"/>
          <w:szCs w:val="30"/>
        </w:rPr>
        <w:t>2019年《房屋详细情况一览表》，分析其中的公共租赁房租赁数据得知，截</w:t>
      </w:r>
      <w:r>
        <w:rPr>
          <w:rFonts w:hint="eastAsia" w:ascii="仿宋_GB2312" w:hAnsi="宋体"/>
          <w:szCs w:val="30"/>
          <w:lang w:val="en-US" w:eastAsia="zh-CN"/>
        </w:rPr>
        <w:t>至</w:t>
      </w:r>
      <w:r>
        <w:rPr>
          <w:rFonts w:hint="eastAsia" w:ascii="仿宋_GB2312" w:hAnsi="宋体"/>
          <w:szCs w:val="30"/>
        </w:rPr>
        <w:t>2019年12月31日，归属于县不动产</w:t>
      </w:r>
      <w:r>
        <w:rPr>
          <w:rFonts w:hint="eastAsia" w:ascii="仿宋_GB2312" w:hAnsi="宋体"/>
          <w:szCs w:val="30"/>
          <w:lang w:val="en-US" w:eastAsia="zh-CN"/>
        </w:rPr>
        <w:t>登记</w:t>
      </w:r>
      <w:r>
        <w:rPr>
          <w:rFonts w:hint="eastAsia" w:ascii="仿宋_GB2312" w:hAnsi="宋体"/>
          <w:szCs w:val="30"/>
        </w:rPr>
        <w:t>中心管理的可供出租的公共租赁房为4971套，实际已出租4926套，分配率为99.09%。</w:t>
      </w:r>
    </w:p>
    <w:p w14:paraId="4D8AF532">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hint="eastAsia" w:ascii="仿宋_GB2312" w:hAnsi="宋体"/>
          <w:b/>
          <w:bCs/>
          <w:szCs w:val="30"/>
        </w:rPr>
      </w:pPr>
      <w:bookmarkStart w:id="80" w:name="_Toc10796"/>
      <w:bookmarkStart w:id="81" w:name="_Toc18098"/>
      <w:r>
        <w:rPr>
          <w:rFonts w:hint="eastAsia" w:ascii="仿宋_GB2312" w:hAnsi="宋体"/>
          <w:b/>
          <w:bCs/>
          <w:szCs w:val="30"/>
        </w:rPr>
        <w:t>2</w:t>
      </w:r>
      <w:r>
        <w:rPr>
          <w:rFonts w:hint="eastAsia" w:ascii="仿宋_GB2312" w:hAnsi="宋体"/>
          <w:b/>
          <w:bCs/>
          <w:szCs w:val="30"/>
          <w:lang w:val="en-US" w:eastAsia="zh-CN"/>
        </w:rPr>
        <w:t>.</w:t>
      </w:r>
      <w:r>
        <w:rPr>
          <w:rFonts w:hint="eastAsia" w:ascii="仿宋_GB2312" w:hAnsi="宋体"/>
          <w:b/>
          <w:bCs/>
          <w:szCs w:val="30"/>
        </w:rPr>
        <w:t>廉租房租户保障率</w:t>
      </w:r>
      <w:bookmarkEnd w:id="80"/>
      <w:bookmarkEnd w:id="81"/>
    </w:p>
    <w:p w14:paraId="18A167AA">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hint="eastAsia" w:ascii="仿宋_GB2312" w:hAnsi="宋体"/>
          <w:szCs w:val="30"/>
        </w:rPr>
      </w:pPr>
      <w:r>
        <w:rPr>
          <w:rFonts w:hint="eastAsia" w:ascii="仿宋_GB2312" w:hAnsi="宋体"/>
          <w:szCs w:val="30"/>
        </w:rPr>
        <w:t>县不动产</w:t>
      </w:r>
      <w:r>
        <w:rPr>
          <w:rFonts w:hint="eastAsia" w:ascii="仿宋_GB2312" w:hAnsi="宋体"/>
          <w:szCs w:val="30"/>
          <w:lang w:val="en-US" w:eastAsia="zh-CN"/>
        </w:rPr>
        <w:t>登记</w:t>
      </w:r>
      <w:r>
        <w:rPr>
          <w:rFonts w:hint="eastAsia" w:ascii="仿宋_GB2312" w:hAnsi="宋体"/>
          <w:szCs w:val="30"/>
        </w:rPr>
        <w:t>中心根据《重庆市国土房管局重庆市城乡建委重庆市发展改革委重庆市财政局关于进一步做好公共租赁住房有关工作的实施意见》（渝国土房管〔2017〕943号）政策要求优先保障符合条件的廉租房申请者能够获得住房分配。通过实际询问了解到，廉租房租户保障率为100%，基本做到了“应保尽保”。</w:t>
      </w:r>
    </w:p>
    <w:p w14:paraId="43321465">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hint="eastAsia" w:ascii="仿宋_GB2312" w:hAnsi="宋体"/>
          <w:b/>
          <w:bCs/>
          <w:szCs w:val="30"/>
        </w:rPr>
      </w:pPr>
      <w:bookmarkStart w:id="82" w:name="_Toc23355"/>
      <w:bookmarkStart w:id="83" w:name="_Toc21020"/>
      <w:r>
        <w:rPr>
          <w:rFonts w:hint="eastAsia" w:ascii="仿宋_GB2312" w:hAnsi="宋体"/>
          <w:b/>
          <w:bCs/>
          <w:szCs w:val="30"/>
          <w:lang w:val="en-US" w:eastAsia="zh-CN"/>
        </w:rPr>
        <w:t>3.</w:t>
      </w:r>
      <w:r>
        <w:rPr>
          <w:rFonts w:hint="eastAsia" w:ascii="仿宋_GB2312" w:hAnsi="宋体"/>
          <w:b/>
          <w:bCs/>
          <w:szCs w:val="30"/>
        </w:rPr>
        <w:t>公共租赁租户满意度</w:t>
      </w:r>
      <w:bookmarkEnd w:id="82"/>
      <w:bookmarkEnd w:id="83"/>
    </w:p>
    <w:p w14:paraId="725C1F85">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hint="eastAsia" w:ascii="仿宋_GB2312" w:hAnsi="宋体"/>
          <w:szCs w:val="30"/>
        </w:rPr>
      </w:pPr>
      <w:r>
        <w:rPr>
          <w:rFonts w:hint="eastAsia" w:ascii="仿宋_GB2312" w:hAnsi="宋体"/>
          <w:szCs w:val="30"/>
        </w:rPr>
        <w:t>通过走访白马小区和金穗家园小区，对其公共租赁住房租户展开问卷调查，调查内容涉及公共租赁住房的质量、环境、管理等方面</w:t>
      </w:r>
      <w:r>
        <w:rPr>
          <w:rFonts w:hint="eastAsia" w:ascii="仿宋_GB2312" w:hAnsi="宋体"/>
          <w:szCs w:val="30"/>
          <w:lang w:eastAsia="zh-CN"/>
        </w:rPr>
        <w:t>。现场共走访询问租户</w:t>
      </w:r>
      <w:r>
        <w:rPr>
          <w:rFonts w:hint="eastAsia" w:ascii="仿宋_GB2312" w:hAnsi="宋体"/>
          <w:szCs w:val="30"/>
          <w:lang w:val="en-US" w:eastAsia="zh-CN"/>
        </w:rPr>
        <w:t>51人，收集到无效问卷2份，有效问卷49份。</w:t>
      </w:r>
      <w:r>
        <w:rPr>
          <w:rFonts w:hint="eastAsia" w:ascii="仿宋_GB2312" w:hAnsi="宋体"/>
          <w:szCs w:val="30"/>
        </w:rPr>
        <w:t>根据</w:t>
      </w:r>
      <w:r>
        <w:rPr>
          <w:rFonts w:hint="eastAsia" w:ascii="仿宋_GB2312" w:hAnsi="宋体"/>
          <w:szCs w:val="30"/>
          <w:lang w:eastAsia="zh-CN"/>
        </w:rPr>
        <w:t>现场</w:t>
      </w:r>
      <w:r>
        <w:rPr>
          <w:rFonts w:hint="eastAsia" w:ascii="仿宋_GB2312" w:hAnsi="宋体"/>
          <w:szCs w:val="30"/>
        </w:rPr>
        <w:t>收集到的</w:t>
      </w:r>
      <w:r>
        <w:rPr>
          <w:rFonts w:hint="eastAsia" w:ascii="仿宋_GB2312" w:hAnsi="宋体"/>
          <w:szCs w:val="30"/>
          <w:lang w:val="en-US" w:eastAsia="zh-CN"/>
        </w:rPr>
        <w:t>49份</w:t>
      </w:r>
      <w:r>
        <w:rPr>
          <w:rFonts w:hint="eastAsia" w:ascii="仿宋_GB2312" w:hAnsi="宋体"/>
          <w:szCs w:val="30"/>
          <w:lang w:eastAsia="zh-CN"/>
        </w:rPr>
        <w:t>有效</w:t>
      </w:r>
      <w:r>
        <w:rPr>
          <w:rFonts w:hint="eastAsia" w:ascii="仿宋_GB2312" w:hAnsi="宋体"/>
          <w:szCs w:val="30"/>
        </w:rPr>
        <w:t>问卷，经过统计分析得出整体综合满意度为87.50%。详见下表：</w:t>
      </w:r>
    </w:p>
    <w:p w14:paraId="7BDFA06C">
      <w:pPr>
        <w:jc w:val="center"/>
        <w:rPr>
          <w:b/>
        </w:rPr>
      </w:pPr>
      <w:r>
        <w:rPr>
          <w:rFonts w:hint="eastAsia"/>
          <w:b/>
        </w:rPr>
        <w:t>公共租赁租房满意度调查统计表</w:t>
      </w:r>
    </w:p>
    <w:tbl>
      <w:tblPr>
        <w:tblStyle w:val="10"/>
        <w:tblW w:w="5000" w:type="pct"/>
        <w:tblInd w:w="0" w:type="dxa"/>
        <w:tblLayout w:type="autofit"/>
        <w:tblCellMar>
          <w:top w:w="0" w:type="dxa"/>
          <w:left w:w="0" w:type="dxa"/>
          <w:bottom w:w="0" w:type="dxa"/>
          <w:right w:w="0" w:type="dxa"/>
        </w:tblCellMar>
      </w:tblPr>
      <w:tblGrid>
        <w:gridCol w:w="1785"/>
        <w:gridCol w:w="1478"/>
        <w:gridCol w:w="1875"/>
        <w:gridCol w:w="1876"/>
        <w:gridCol w:w="1802"/>
      </w:tblGrid>
      <w:tr w14:paraId="2D8AFFD9">
        <w:tblPrEx>
          <w:tblCellMar>
            <w:top w:w="0" w:type="dxa"/>
            <w:left w:w="0" w:type="dxa"/>
            <w:bottom w:w="0" w:type="dxa"/>
            <w:right w:w="0" w:type="dxa"/>
          </w:tblCellMar>
        </w:tblPrEx>
        <w:trPr>
          <w:trHeight w:val="285" w:hRule="atLeast"/>
        </w:trPr>
        <w:tc>
          <w:tcPr>
            <w:tcW w:w="101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7E3C1">
            <w:pPr>
              <w:widowControl/>
              <w:spacing w:before="120" w:beforeLines="50" w:after="120" w:afterLines="50"/>
              <w:ind w:firstLine="281" w:firstLineChars="100"/>
              <w:jc w:val="both"/>
              <w:textAlignment w:val="center"/>
              <w:rPr>
                <w:rFonts w:hint="eastAsia" w:ascii="仿宋" w:hAnsi="仿宋" w:eastAsia="仿宋" w:cs="宋体"/>
                <w:b/>
                <w:bCs/>
                <w:color w:val="000000"/>
                <w:kern w:val="0"/>
                <w:sz w:val="28"/>
                <w:szCs w:val="28"/>
                <w:lang w:bidi="ar"/>
              </w:rPr>
            </w:pPr>
            <w:r>
              <w:rPr>
                <w:rFonts w:hint="eastAsia" w:ascii="仿宋" w:hAnsi="仿宋" w:eastAsia="仿宋" w:cs="宋体"/>
                <w:b/>
                <w:bCs/>
                <w:color w:val="000000"/>
                <w:kern w:val="0"/>
                <w:sz w:val="28"/>
                <w:szCs w:val="28"/>
                <w:lang w:bidi="ar"/>
              </w:rPr>
              <w:t>问卷内容</w:t>
            </w: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C66F">
            <w:pPr>
              <w:widowControl/>
              <w:spacing w:before="120" w:beforeLines="50" w:after="120" w:afterLines="50"/>
              <w:jc w:val="center"/>
              <w:textAlignment w:val="center"/>
              <w:rPr>
                <w:rFonts w:hint="eastAsia" w:ascii="仿宋" w:hAnsi="仿宋" w:eastAsia="仿宋" w:cs="宋体"/>
                <w:b/>
                <w:bCs/>
                <w:color w:val="000000"/>
                <w:kern w:val="0"/>
                <w:sz w:val="28"/>
                <w:szCs w:val="28"/>
                <w:lang w:bidi="ar"/>
              </w:rPr>
            </w:pPr>
            <w:r>
              <w:rPr>
                <w:rFonts w:hint="eastAsia" w:ascii="仿宋" w:hAnsi="仿宋" w:eastAsia="仿宋" w:cs="宋体"/>
                <w:b/>
                <w:bCs/>
                <w:color w:val="000000"/>
                <w:kern w:val="0"/>
                <w:sz w:val="28"/>
                <w:szCs w:val="28"/>
                <w:lang w:bidi="ar"/>
              </w:rPr>
              <w:t>权重</w:t>
            </w:r>
          </w:p>
        </w:tc>
        <w:tc>
          <w:tcPr>
            <w:tcW w:w="21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EE059">
            <w:pPr>
              <w:widowControl/>
              <w:spacing w:before="120" w:beforeLines="50" w:after="120" w:afterLines="50"/>
              <w:jc w:val="center"/>
              <w:textAlignment w:val="center"/>
              <w:rPr>
                <w:rFonts w:ascii="仿宋" w:hAnsi="仿宋" w:eastAsia="仿宋" w:cs="宋体"/>
                <w:b/>
                <w:color w:val="000000"/>
                <w:sz w:val="28"/>
              </w:rPr>
            </w:pPr>
            <w:r>
              <w:rPr>
                <w:rFonts w:hint="eastAsia" w:ascii="仿宋" w:hAnsi="仿宋" w:eastAsia="仿宋" w:cs="宋体"/>
                <w:b/>
                <w:color w:val="000000"/>
                <w:kern w:val="0"/>
                <w:sz w:val="28"/>
                <w:lang w:bidi="ar"/>
              </w:rPr>
              <w:t>结果占比</w:t>
            </w:r>
          </w:p>
        </w:tc>
        <w:tc>
          <w:tcPr>
            <w:tcW w:w="102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C6B95">
            <w:pPr>
              <w:widowControl/>
              <w:spacing w:before="120" w:beforeLines="50" w:after="120" w:afterLines="50"/>
              <w:ind w:firstLine="562" w:firstLineChars="200"/>
              <w:jc w:val="left"/>
              <w:textAlignment w:val="center"/>
              <w:rPr>
                <w:rFonts w:ascii="仿宋" w:hAnsi="仿宋" w:eastAsia="仿宋" w:cs="宋体"/>
                <w:b/>
                <w:color w:val="000000"/>
                <w:sz w:val="28"/>
              </w:rPr>
            </w:pPr>
            <w:r>
              <w:rPr>
                <w:rFonts w:hint="eastAsia" w:ascii="仿宋" w:hAnsi="仿宋" w:eastAsia="仿宋" w:cs="宋体"/>
                <w:b/>
                <w:color w:val="000000"/>
                <w:kern w:val="0"/>
                <w:sz w:val="28"/>
                <w:lang w:bidi="ar"/>
              </w:rPr>
              <w:t>合计</w:t>
            </w:r>
          </w:p>
        </w:tc>
      </w:tr>
      <w:tr w14:paraId="526415D8">
        <w:tblPrEx>
          <w:tblCellMar>
            <w:top w:w="0" w:type="dxa"/>
            <w:left w:w="0" w:type="dxa"/>
            <w:bottom w:w="0" w:type="dxa"/>
            <w:right w:w="0" w:type="dxa"/>
          </w:tblCellMar>
        </w:tblPrEx>
        <w:trPr>
          <w:trHeight w:val="470" w:hRule="atLeast"/>
        </w:trPr>
        <w:tc>
          <w:tcPr>
            <w:tcW w:w="101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9D28">
            <w:pPr>
              <w:spacing w:before="120" w:beforeLines="50" w:after="120" w:afterLines="50" w:line="360" w:lineRule="auto"/>
              <w:ind w:firstLine="480" w:firstLineChars="200"/>
              <w:jc w:val="both"/>
              <w:rPr>
                <w:rFonts w:ascii="仿宋" w:hAnsi="仿宋" w:eastAsia="仿宋" w:cs="宋体"/>
                <w:color w:val="000000"/>
                <w:sz w:val="24"/>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69B3">
            <w:pPr>
              <w:spacing w:before="120" w:beforeLines="50" w:after="120" w:afterLines="50" w:line="360" w:lineRule="auto"/>
              <w:ind w:firstLine="480" w:firstLineChars="200"/>
              <w:jc w:val="both"/>
              <w:rPr>
                <w:rFonts w:ascii="仿宋" w:hAnsi="仿宋" w:eastAsia="仿宋" w:cs="宋体"/>
                <w:color w:val="000000"/>
                <w:sz w:val="24"/>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5AC7">
            <w:pPr>
              <w:widowControl/>
              <w:spacing w:before="120" w:beforeLines="50" w:after="120" w:afterLines="50"/>
              <w:ind w:firstLine="562" w:firstLineChars="200"/>
              <w:jc w:val="both"/>
              <w:textAlignment w:val="center"/>
              <w:rPr>
                <w:rFonts w:ascii="仿宋" w:hAnsi="仿宋" w:eastAsia="仿宋" w:cs="宋体"/>
                <w:b/>
                <w:color w:val="000000"/>
                <w:sz w:val="28"/>
              </w:rPr>
            </w:pPr>
            <w:r>
              <w:rPr>
                <w:rFonts w:hint="eastAsia" w:ascii="仿宋" w:hAnsi="仿宋" w:eastAsia="仿宋" w:cs="宋体"/>
                <w:b/>
                <w:color w:val="000000"/>
                <w:kern w:val="0"/>
                <w:sz w:val="28"/>
                <w:lang w:bidi="ar"/>
              </w:rPr>
              <w:t>满意</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E112F">
            <w:pPr>
              <w:widowControl/>
              <w:spacing w:before="120" w:beforeLines="50" w:after="120" w:afterLines="50"/>
              <w:ind w:firstLine="562" w:firstLineChars="200"/>
              <w:jc w:val="both"/>
              <w:textAlignment w:val="center"/>
              <w:rPr>
                <w:rFonts w:ascii="仿宋" w:hAnsi="仿宋" w:eastAsia="仿宋" w:cs="宋体"/>
                <w:b/>
                <w:color w:val="000000"/>
                <w:sz w:val="28"/>
              </w:rPr>
            </w:pPr>
            <w:r>
              <w:rPr>
                <w:rFonts w:hint="eastAsia" w:ascii="仿宋" w:hAnsi="仿宋" w:eastAsia="仿宋" w:cs="宋体"/>
                <w:b/>
                <w:color w:val="000000"/>
                <w:kern w:val="0"/>
                <w:sz w:val="28"/>
                <w:lang w:bidi="ar"/>
              </w:rPr>
              <w:t>不满意</w:t>
            </w:r>
          </w:p>
        </w:tc>
        <w:tc>
          <w:tcPr>
            <w:tcW w:w="102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FC2B1">
            <w:pPr>
              <w:spacing w:before="120" w:beforeLines="50" w:after="120" w:afterLines="50" w:line="360" w:lineRule="auto"/>
              <w:ind w:firstLine="480" w:firstLineChars="200"/>
              <w:jc w:val="both"/>
              <w:rPr>
                <w:rFonts w:ascii="仿宋" w:hAnsi="仿宋" w:eastAsia="仿宋" w:cs="宋体"/>
                <w:color w:val="000000"/>
                <w:sz w:val="24"/>
              </w:rPr>
            </w:pPr>
          </w:p>
        </w:tc>
      </w:tr>
      <w:tr w14:paraId="3C169E27">
        <w:tblPrEx>
          <w:tblCellMar>
            <w:top w:w="0" w:type="dxa"/>
            <w:left w:w="0" w:type="dxa"/>
            <w:bottom w:w="0" w:type="dxa"/>
            <w:right w:w="0" w:type="dxa"/>
          </w:tblCellMar>
        </w:tblPrEx>
        <w:trPr>
          <w:trHeight w:val="285" w:hRule="atLeast"/>
        </w:trPr>
        <w:tc>
          <w:tcPr>
            <w:tcW w:w="10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F39A">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质量</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5913D">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25%</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85BD">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87.50%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757C">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12.50%</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0E28">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18.75%</w:t>
            </w:r>
          </w:p>
        </w:tc>
      </w:tr>
      <w:tr w14:paraId="27373535">
        <w:tblPrEx>
          <w:tblCellMar>
            <w:top w:w="0" w:type="dxa"/>
            <w:left w:w="0" w:type="dxa"/>
            <w:bottom w:w="0" w:type="dxa"/>
            <w:right w:w="0" w:type="dxa"/>
          </w:tblCellMar>
        </w:tblPrEx>
        <w:trPr>
          <w:trHeight w:val="285" w:hRule="atLeast"/>
        </w:trPr>
        <w:tc>
          <w:tcPr>
            <w:tcW w:w="10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E87D9">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环境</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5FBF7">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25%</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3654">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87.50%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1CFB">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12.50%</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1BD3">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18.75%</w:t>
            </w:r>
          </w:p>
        </w:tc>
      </w:tr>
      <w:tr w14:paraId="63AC8D09">
        <w:tblPrEx>
          <w:tblCellMar>
            <w:top w:w="0" w:type="dxa"/>
            <w:left w:w="0" w:type="dxa"/>
            <w:bottom w:w="0" w:type="dxa"/>
            <w:right w:w="0" w:type="dxa"/>
          </w:tblCellMar>
        </w:tblPrEx>
        <w:trPr>
          <w:trHeight w:val="285" w:hRule="atLeast"/>
        </w:trPr>
        <w:tc>
          <w:tcPr>
            <w:tcW w:w="10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44ACD">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管理</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04C8">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25%</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D438">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100%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70631">
            <w:pPr>
              <w:spacing w:before="120" w:beforeLines="50" w:after="120" w:afterLines="50"/>
              <w:ind w:firstLine="560" w:firstLineChars="200"/>
              <w:jc w:val="both"/>
              <w:rPr>
                <w:rFonts w:ascii="仿宋" w:hAnsi="仿宋" w:eastAsia="仿宋" w:cs="宋体"/>
                <w:color w:val="000000"/>
                <w:sz w:val="28"/>
                <w:szCs w:val="28"/>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8445">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25.00%</w:t>
            </w:r>
          </w:p>
        </w:tc>
      </w:tr>
      <w:tr w14:paraId="3CD59C86">
        <w:tblPrEx>
          <w:tblCellMar>
            <w:top w:w="0" w:type="dxa"/>
            <w:left w:w="0" w:type="dxa"/>
            <w:bottom w:w="0" w:type="dxa"/>
            <w:right w:w="0" w:type="dxa"/>
          </w:tblCellMar>
        </w:tblPrEx>
        <w:trPr>
          <w:trHeight w:val="285" w:hRule="atLeast"/>
        </w:trPr>
        <w:tc>
          <w:tcPr>
            <w:tcW w:w="10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696DD">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其他</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3BD55">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25%</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11301">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100%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5EB65">
            <w:pPr>
              <w:spacing w:before="120" w:beforeLines="50" w:after="120" w:afterLines="50"/>
              <w:ind w:firstLine="560" w:firstLineChars="200"/>
              <w:jc w:val="both"/>
              <w:rPr>
                <w:rFonts w:ascii="仿宋" w:hAnsi="仿宋" w:eastAsia="仿宋" w:cs="宋体"/>
                <w:color w:val="000000"/>
                <w:sz w:val="28"/>
                <w:szCs w:val="28"/>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59E7F">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25.00%</w:t>
            </w:r>
          </w:p>
        </w:tc>
      </w:tr>
      <w:tr w14:paraId="44FD235D">
        <w:tblPrEx>
          <w:tblCellMar>
            <w:top w:w="0" w:type="dxa"/>
            <w:left w:w="0" w:type="dxa"/>
            <w:bottom w:w="0" w:type="dxa"/>
            <w:right w:w="0" w:type="dxa"/>
          </w:tblCellMar>
        </w:tblPrEx>
        <w:trPr>
          <w:trHeight w:val="285" w:hRule="atLeast"/>
        </w:trPr>
        <w:tc>
          <w:tcPr>
            <w:tcW w:w="10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FEAF2">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合计</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98A1">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100%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B220">
            <w:pPr>
              <w:spacing w:before="120" w:beforeLines="50" w:after="120" w:afterLines="50"/>
              <w:ind w:firstLine="560" w:firstLineChars="200"/>
              <w:jc w:val="both"/>
              <w:rPr>
                <w:rFonts w:ascii="仿宋" w:hAnsi="仿宋" w:eastAsia="仿宋" w:cs="宋体"/>
                <w:color w:val="000000"/>
                <w:sz w:val="28"/>
                <w:szCs w:val="28"/>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1B3C">
            <w:pPr>
              <w:spacing w:before="120" w:beforeLines="50" w:after="120" w:afterLines="50"/>
              <w:ind w:firstLine="560" w:firstLineChars="200"/>
              <w:jc w:val="both"/>
              <w:rPr>
                <w:rFonts w:ascii="仿宋" w:hAnsi="仿宋" w:eastAsia="仿宋" w:cs="宋体"/>
                <w:color w:val="000000"/>
                <w:sz w:val="28"/>
                <w:szCs w:val="28"/>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82B0">
            <w:pPr>
              <w:widowControl/>
              <w:spacing w:before="120" w:beforeLines="50" w:after="120" w:afterLines="50"/>
              <w:ind w:firstLine="560" w:firstLineChars="200"/>
              <w:jc w:val="both"/>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87.50%</w:t>
            </w:r>
          </w:p>
        </w:tc>
      </w:tr>
    </w:tbl>
    <w:p w14:paraId="03B1CB20">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hint="eastAsia" w:ascii="仿宋_GB2312" w:hAnsi="宋体"/>
          <w:b/>
          <w:bCs/>
          <w:szCs w:val="30"/>
        </w:rPr>
      </w:pPr>
      <w:bookmarkStart w:id="84" w:name="_Toc27994"/>
      <w:bookmarkStart w:id="85" w:name="_Toc19471"/>
      <w:r>
        <w:rPr>
          <w:rFonts w:hint="eastAsia" w:ascii="仿宋_GB2312" w:hAnsi="宋体"/>
          <w:b/>
          <w:bCs/>
          <w:szCs w:val="30"/>
        </w:rPr>
        <w:t>4</w:t>
      </w:r>
      <w:r>
        <w:rPr>
          <w:rFonts w:hint="eastAsia" w:ascii="仿宋_GB2312" w:hAnsi="宋体"/>
          <w:b/>
          <w:bCs/>
          <w:szCs w:val="30"/>
          <w:lang w:val="en-US" w:eastAsia="zh-CN"/>
        </w:rPr>
        <w:t>.</w:t>
      </w:r>
      <w:r>
        <w:rPr>
          <w:rFonts w:hint="eastAsia" w:ascii="仿宋_GB2312" w:hAnsi="宋体"/>
          <w:b/>
          <w:bCs/>
          <w:szCs w:val="30"/>
        </w:rPr>
        <w:t>强化城镇房屋安全管理</w:t>
      </w:r>
      <w:bookmarkEnd w:id="84"/>
      <w:bookmarkEnd w:id="85"/>
    </w:p>
    <w:p w14:paraId="25FD94AE">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hint="eastAsia" w:ascii="仿宋_GB2312" w:hAnsi="宋体"/>
          <w:szCs w:val="30"/>
        </w:rPr>
      </w:pPr>
      <w:r>
        <w:rPr>
          <w:rFonts w:hint="eastAsia" w:ascii="仿宋_GB2312" w:hAnsi="宋体"/>
          <w:szCs w:val="30"/>
        </w:rPr>
        <w:t>通过组织开展区域内房屋安全隐患排查，督促产权人或房管单位对存在安全隐患的房屋进行了整改，切实保护了国家和广大人民群众生命财产安全，</w:t>
      </w:r>
      <w:r>
        <w:rPr>
          <w:rFonts w:hint="eastAsia" w:ascii="仿宋_GB2312" w:hAnsi="宋体"/>
          <w:szCs w:val="30"/>
          <w:lang w:eastAsia="zh-CN"/>
        </w:rPr>
        <w:t>确保</w:t>
      </w:r>
      <w:r>
        <w:rPr>
          <w:rFonts w:hint="eastAsia" w:ascii="仿宋_GB2312" w:hAnsi="宋体"/>
          <w:szCs w:val="30"/>
        </w:rPr>
        <w:t>了城镇房屋安全性。</w:t>
      </w:r>
    </w:p>
    <w:p w14:paraId="3B72946C">
      <w:pPr>
        <w:pageBreakBefore w:val="0"/>
        <w:widowControl w:val="0"/>
        <w:kinsoku/>
        <w:wordWrap/>
        <w:overflowPunct/>
        <w:topLinePunct w:val="0"/>
        <w:autoSpaceDE/>
        <w:autoSpaceDN/>
        <w:bidi w:val="0"/>
        <w:adjustRightInd/>
        <w:snapToGrid/>
        <w:spacing w:before="120" w:beforeLines="50" w:after="120" w:afterLines="50" w:line="360" w:lineRule="auto"/>
        <w:ind w:firstLine="602" w:firstLineChars="200"/>
        <w:textAlignment w:val="auto"/>
        <w:rPr>
          <w:rFonts w:hint="eastAsia" w:ascii="仿宋_GB2312" w:hAnsi="宋体"/>
          <w:b/>
          <w:bCs/>
          <w:szCs w:val="30"/>
        </w:rPr>
      </w:pPr>
      <w:bookmarkStart w:id="86" w:name="_Toc23569"/>
      <w:bookmarkStart w:id="87" w:name="_Toc31819"/>
      <w:r>
        <w:rPr>
          <w:rFonts w:hint="eastAsia" w:ascii="仿宋_GB2312" w:hAnsi="宋体"/>
          <w:b/>
          <w:bCs/>
          <w:szCs w:val="30"/>
        </w:rPr>
        <w:t>5</w:t>
      </w:r>
      <w:r>
        <w:rPr>
          <w:rFonts w:hint="eastAsia" w:ascii="仿宋_GB2312" w:hAnsi="宋体"/>
          <w:b/>
          <w:bCs/>
          <w:szCs w:val="30"/>
          <w:lang w:val="en-US" w:eastAsia="zh-CN"/>
        </w:rPr>
        <w:t>.</w:t>
      </w:r>
      <w:r>
        <w:rPr>
          <w:rFonts w:hint="eastAsia" w:ascii="仿宋_GB2312" w:hAnsi="宋体"/>
          <w:b/>
          <w:bCs/>
          <w:szCs w:val="30"/>
        </w:rPr>
        <w:t>保障房地产市场稳健发展</w:t>
      </w:r>
      <w:bookmarkEnd w:id="86"/>
      <w:bookmarkEnd w:id="87"/>
    </w:p>
    <w:p w14:paraId="5DA38DB0">
      <w:pPr>
        <w:pageBreakBefore w:val="0"/>
        <w:widowControl w:val="0"/>
        <w:kinsoku/>
        <w:wordWrap/>
        <w:overflowPunct/>
        <w:topLinePunct w:val="0"/>
        <w:autoSpaceDE/>
        <w:autoSpaceDN/>
        <w:bidi w:val="0"/>
        <w:adjustRightInd/>
        <w:snapToGrid/>
        <w:spacing w:before="120" w:beforeLines="50" w:after="120" w:afterLines="50" w:line="360" w:lineRule="auto"/>
        <w:ind w:firstLine="600" w:firstLineChars="200"/>
        <w:textAlignment w:val="auto"/>
        <w:rPr>
          <w:rFonts w:hint="eastAsia" w:ascii="仿宋_GB2312" w:hAnsi="宋体"/>
          <w:szCs w:val="30"/>
        </w:rPr>
      </w:pPr>
      <w:r>
        <w:rPr>
          <w:rFonts w:hint="eastAsia" w:ascii="仿宋_GB2312" w:hAnsi="宋体"/>
          <w:szCs w:val="30"/>
        </w:rPr>
        <w:t>通过加大房地产市场监管执法检查力度，进一步强化了房地产市场监管，规范了房地产市场秩序，</w:t>
      </w:r>
      <w:r>
        <w:rPr>
          <w:rFonts w:hint="eastAsia" w:ascii="仿宋_GB2312" w:hAnsi="宋体"/>
          <w:szCs w:val="30"/>
          <w:lang w:eastAsia="zh-CN"/>
        </w:rPr>
        <w:t>县房管中心</w:t>
      </w:r>
      <w:r>
        <w:rPr>
          <w:rFonts w:hint="eastAsia" w:ascii="仿宋_GB2312" w:hAnsi="宋体"/>
          <w:szCs w:val="30"/>
        </w:rPr>
        <w:t>通过组织人员对房地产中介市场进行日常监管和巡查，发现问题责令整改，保证房地产市场安全稳健发展。</w:t>
      </w:r>
    </w:p>
    <w:p w14:paraId="6C9D5713">
      <w:pPr>
        <w:keepNext w:val="0"/>
        <w:keepLines w:val="0"/>
        <w:pageBreakBefore w:val="0"/>
        <w:widowControl w:val="0"/>
        <w:numPr>
          <w:ilvl w:val="255"/>
          <w:numId w:val="0"/>
        </w:numPr>
        <w:kinsoku/>
        <w:wordWrap/>
        <w:overflowPunct/>
        <w:topLinePunct w:val="0"/>
        <w:autoSpaceDE/>
        <w:autoSpaceDN/>
        <w:bidi w:val="0"/>
        <w:adjustRightInd/>
        <w:snapToGrid/>
        <w:spacing w:before="120" w:beforeLines="50" w:after="120" w:afterLines="50" w:line="360" w:lineRule="auto"/>
        <w:ind w:firstLine="643" w:firstLineChars="200"/>
        <w:textAlignment w:val="auto"/>
        <w:outlineLvl w:val="0"/>
        <w:rPr>
          <w:rFonts w:hint="eastAsia" w:ascii="黑体" w:hAnsi="黑体" w:eastAsia="黑体"/>
          <w:b/>
          <w:sz w:val="32"/>
          <w:szCs w:val="32"/>
        </w:rPr>
      </w:pPr>
      <w:bookmarkStart w:id="88" w:name="_Toc31533"/>
      <w:bookmarkStart w:id="89" w:name="_Toc10452"/>
      <w:bookmarkStart w:id="90" w:name="_Toc8192"/>
      <w:r>
        <w:rPr>
          <w:rFonts w:hint="eastAsia" w:ascii="黑体" w:hAnsi="黑体" w:eastAsia="黑体"/>
          <w:b/>
          <w:sz w:val="32"/>
          <w:szCs w:val="32"/>
        </w:rPr>
        <w:t>四、绩效评价总体结论</w:t>
      </w:r>
      <w:bookmarkEnd w:id="88"/>
      <w:bookmarkEnd w:id="89"/>
      <w:bookmarkEnd w:id="90"/>
      <w:r>
        <w:rPr>
          <w:rFonts w:hint="eastAsia" w:ascii="黑体" w:hAnsi="黑体" w:eastAsia="黑体"/>
          <w:b/>
          <w:sz w:val="32"/>
          <w:szCs w:val="32"/>
        </w:rPr>
        <w:t xml:space="preserve"> </w:t>
      </w:r>
    </w:p>
    <w:p w14:paraId="2E79577D">
      <w:pPr>
        <w:pageBreakBefore w:val="0"/>
        <w:widowControl w:val="0"/>
        <w:kinsoku/>
        <w:wordWrap/>
        <w:overflowPunct/>
        <w:topLinePunct w:val="0"/>
        <w:autoSpaceDE/>
        <w:autoSpaceDN/>
        <w:bidi w:val="0"/>
        <w:adjustRightInd/>
        <w:snapToGrid/>
        <w:spacing w:before="157" w:beforeLines="50" w:after="157" w:afterLines="50" w:line="360" w:lineRule="auto"/>
        <w:ind w:firstLine="600" w:firstLineChars="200"/>
        <w:textAlignment w:val="auto"/>
        <w:rPr>
          <w:rFonts w:hint="eastAsia"/>
          <w:lang w:val="en-US" w:eastAsia="zh-CN"/>
        </w:rPr>
      </w:pPr>
      <w:r>
        <w:rPr>
          <w:rFonts w:hint="eastAsia" w:ascii="仿宋_GB2312" w:hAnsi="宋体"/>
          <w:szCs w:val="30"/>
        </w:rPr>
        <w:t>通过对县房管中心2019年度部门整体支出进行绩效评价并综合评分，本项目绩效评价最终得分为：</w:t>
      </w:r>
      <w:r>
        <w:rPr>
          <w:rFonts w:hint="eastAsia" w:ascii="仿宋_GB2312" w:hAnsi="宋体"/>
          <w:b/>
          <w:szCs w:val="30"/>
          <w:u w:val="single"/>
        </w:rPr>
        <w:t>82.81</w:t>
      </w:r>
      <w:r>
        <w:rPr>
          <w:rFonts w:hint="eastAsia" w:ascii="仿宋_GB2312" w:hAnsi="宋体"/>
          <w:szCs w:val="30"/>
        </w:rPr>
        <w:t>分。根据《重庆市市级政策和项目预算绩效管理办法（试行）》的规定，本项目绩效评价等次为：</w:t>
      </w:r>
      <w:r>
        <w:rPr>
          <w:rFonts w:hint="eastAsia" w:ascii="仿宋_GB2312" w:hAnsi="宋体"/>
          <w:b/>
          <w:szCs w:val="30"/>
          <w:u w:val="single"/>
        </w:rPr>
        <w:t xml:space="preserve">良 </w:t>
      </w:r>
      <w:r>
        <w:rPr>
          <w:rFonts w:hint="eastAsia" w:ascii="仿宋_GB2312" w:hAnsi="宋体"/>
          <w:szCs w:val="30"/>
        </w:rPr>
        <w:t>。经综合评价，县房管中心目标设定、预算配置、预算执行、财务管理、资产管理、业务管理、职责履行、履职效益等方面评价结果良好。</w:t>
      </w:r>
      <w:r>
        <w:rPr>
          <w:rFonts w:hint="eastAsia" w:ascii="仿宋_GB2312" w:hAnsi="宋体"/>
          <w:szCs w:val="30"/>
          <w:lang w:val="en-US" w:eastAsia="zh-CN"/>
        </w:rPr>
        <w:t>主要绩效体现在：</w:t>
      </w:r>
    </w:p>
    <w:p w14:paraId="43F8FB61">
      <w:pPr>
        <w:pStyle w:val="2"/>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firstLine="602" w:firstLineChars="200"/>
        <w:textAlignment w:val="auto"/>
        <w:rPr>
          <w:rFonts w:hint="eastAsia" w:ascii="仿宋_GB2312" w:hAnsi="宋体"/>
          <w:b/>
          <w:bCs/>
          <w:szCs w:val="30"/>
          <w:lang w:val="en-US" w:eastAsia="zh-CN"/>
        </w:rPr>
      </w:pPr>
      <w:r>
        <w:rPr>
          <w:rFonts w:hint="eastAsia" w:ascii="仿宋_GB2312" w:hAnsi="宋体" w:eastAsia="仿宋_GB2312" w:cs="Times New Roman"/>
          <w:b/>
          <w:bCs/>
          <w:kern w:val="2"/>
          <w:sz w:val="30"/>
          <w:szCs w:val="30"/>
          <w:lang w:val="en-US" w:eastAsia="zh-CN" w:bidi="ar-SA"/>
        </w:rPr>
        <w:t>保障房地产销售市场</w:t>
      </w:r>
      <w:r>
        <w:rPr>
          <w:rFonts w:hint="eastAsia" w:ascii="仿宋_GB2312" w:hAnsi="宋体"/>
          <w:b/>
          <w:bCs/>
          <w:szCs w:val="30"/>
          <w:lang w:val="en-US" w:eastAsia="zh-CN"/>
        </w:rPr>
        <w:t>平稳运行</w:t>
      </w:r>
    </w:p>
    <w:p w14:paraId="4BC1D90F">
      <w:pPr>
        <w:pageBreakBefore w:val="0"/>
        <w:widowControl w:val="0"/>
        <w:kinsoku/>
        <w:wordWrap/>
        <w:overflowPunct/>
        <w:topLinePunct w:val="0"/>
        <w:autoSpaceDE/>
        <w:autoSpaceDN/>
        <w:bidi w:val="0"/>
        <w:adjustRightInd/>
        <w:snapToGrid/>
        <w:spacing w:before="157" w:beforeLines="50" w:after="157" w:afterLines="50" w:line="360" w:lineRule="auto"/>
        <w:ind w:firstLine="600" w:firstLineChars="200"/>
        <w:textAlignment w:val="auto"/>
        <w:rPr>
          <w:rFonts w:hint="eastAsia" w:ascii="仿宋_GB2312" w:hAnsi="宋体"/>
          <w:szCs w:val="30"/>
        </w:rPr>
      </w:pPr>
      <w:r>
        <w:rPr>
          <w:rFonts w:hint="eastAsia" w:ascii="仿宋_GB2312" w:hAnsi="宋体"/>
          <w:szCs w:val="30"/>
        </w:rPr>
        <w:t>通过加大房地产市场监管执法检查力度，进一步强化了房地产市场监管，规范了房地产市场秩序，通过组织人员对房地产中介市场进行日常监管和巡查，发现问题责令整改，保证房地产市场安全稳健发展。</w:t>
      </w:r>
    </w:p>
    <w:p w14:paraId="0A7EC750">
      <w:pPr>
        <w:pStyle w:val="2"/>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firstLine="602" w:firstLineChars="200"/>
        <w:textAlignment w:val="auto"/>
        <w:rPr>
          <w:rFonts w:hint="default"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稳步推进住房保障工作</w:t>
      </w:r>
    </w:p>
    <w:p w14:paraId="5479B6BB">
      <w:pPr>
        <w:pageBreakBefore w:val="0"/>
        <w:widowControl w:val="0"/>
        <w:kinsoku/>
        <w:wordWrap/>
        <w:overflowPunct/>
        <w:topLinePunct w:val="0"/>
        <w:autoSpaceDE/>
        <w:autoSpaceDN/>
        <w:bidi w:val="0"/>
        <w:adjustRightInd/>
        <w:snapToGrid/>
        <w:spacing w:before="157" w:beforeLines="50" w:after="157" w:afterLines="50" w:line="360" w:lineRule="auto"/>
        <w:ind w:firstLine="602" w:firstLineChars="200"/>
        <w:textAlignment w:val="auto"/>
        <w:rPr>
          <w:rFonts w:hint="default" w:ascii="仿宋_GB2312" w:hAnsi="宋体"/>
          <w:szCs w:val="30"/>
          <w:lang w:val="en-US" w:eastAsia="zh-CN"/>
        </w:rPr>
      </w:pPr>
      <w:r>
        <w:rPr>
          <w:rFonts w:hint="eastAsia" w:ascii="仿宋_GB2312" w:hAnsi="宋体"/>
          <w:b/>
          <w:bCs/>
          <w:szCs w:val="30"/>
          <w:lang w:val="en-US" w:eastAsia="zh-CN"/>
        </w:rPr>
        <w:t>一是</w:t>
      </w:r>
      <w:r>
        <w:rPr>
          <w:rFonts w:hint="eastAsia" w:ascii="仿宋_GB2312" w:hAnsi="宋体"/>
          <w:szCs w:val="30"/>
          <w:lang w:val="en-US" w:eastAsia="zh-CN"/>
        </w:rPr>
        <w:t>全力做好公共租赁房入住、清理、腾退，以及拖欠租金等催缴工作，严格按照“收支两条线”确保租金按时足额缴库；</w:t>
      </w:r>
      <w:r>
        <w:rPr>
          <w:rFonts w:hint="eastAsia" w:ascii="仿宋_GB2312" w:hAnsi="宋体"/>
          <w:b/>
          <w:bCs/>
          <w:szCs w:val="30"/>
          <w:lang w:val="en-US" w:eastAsia="zh-CN"/>
        </w:rPr>
        <w:t>二是</w:t>
      </w:r>
      <w:r>
        <w:rPr>
          <w:rFonts w:hint="eastAsia" w:ascii="仿宋_GB2312" w:hAnsi="宋体"/>
          <w:szCs w:val="30"/>
          <w:lang w:val="en-US" w:eastAsia="zh-CN"/>
        </w:rPr>
        <w:t>加大全县公共租赁房后期基础设施建设及运行维护，提高租赁户的满意度。</w:t>
      </w:r>
    </w:p>
    <w:p w14:paraId="70DE821A">
      <w:pPr>
        <w:pStyle w:val="2"/>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firstLine="602" w:firstLineChars="200"/>
        <w:textAlignment w:val="auto"/>
        <w:rPr>
          <w:rFonts w:hint="default"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不断加强物业管理服务水平</w:t>
      </w:r>
    </w:p>
    <w:p w14:paraId="064EF437">
      <w:pPr>
        <w:pageBreakBefore w:val="0"/>
        <w:widowControl w:val="0"/>
        <w:kinsoku/>
        <w:wordWrap/>
        <w:overflowPunct/>
        <w:topLinePunct w:val="0"/>
        <w:autoSpaceDE/>
        <w:autoSpaceDN/>
        <w:bidi w:val="0"/>
        <w:adjustRightInd/>
        <w:snapToGrid/>
        <w:spacing w:before="157" w:beforeLines="50" w:after="157" w:afterLines="50" w:line="360" w:lineRule="auto"/>
        <w:ind w:firstLine="602" w:firstLineChars="200"/>
        <w:textAlignment w:val="auto"/>
        <w:rPr>
          <w:rFonts w:hint="default" w:ascii="仿宋_GB2312" w:hAnsi="宋体" w:eastAsia="仿宋_GB2312" w:cs="Times New Roman"/>
          <w:b w:val="0"/>
          <w:bCs w:val="0"/>
          <w:kern w:val="2"/>
          <w:sz w:val="30"/>
          <w:szCs w:val="30"/>
          <w:lang w:val="en-US" w:eastAsia="zh-CN" w:bidi="ar-SA"/>
        </w:rPr>
      </w:pPr>
      <w:r>
        <w:rPr>
          <w:rFonts w:hint="eastAsia" w:ascii="仿宋_GB2312" w:hAnsi="宋体"/>
          <w:b/>
          <w:bCs/>
          <w:szCs w:val="30"/>
          <w:lang w:val="en-US" w:eastAsia="zh-CN"/>
        </w:rPr>
        <w:t>一是</w:t>
      </w:r>
      <w:r>
        <w:rPr>
          <w:rFonts w:hint="eastAsia" w:ascii="仿宋_GB2312" w:hAnsi="宋体" w:eastAsia="仿宋_GB2312" w:cs="Times New Roman"/>
          <w:b w:val="0"/>
          <w:bCs w:val="0"/>
          <w:kern w:val="2"/>
          <w:sz w:val="30"/>
          <w:szCs w:val="30"/>
          <w:lang w:val="en-US" w:eastAsia="zh-CN" w:bidi="ar-SA"/>
        </w:rPr>
        <w:t>建立健全物业管理机制，积极协调配合街道、社区加强物业管理服务业务指导；</w:t>
      </w:r>
      <w:r>
        <w:rPr>
          <w:rFonts w:hint="eastAsia" w:ascii="仿宋_GB2312" w:hAnsi="宋体"/>
          <w:b/>
          <w:bCs/>
          <w:szCs w:val="30"/>
          <w:lang w:val="en-US" w:eastAsia="zh-CN"/>
        </w:rPr>
        <w:t>二是</w:t>
      </w:r>
      <w:r>
        <w:rPr>
          <w:rFonts w:hint="eastAsia" w:ascii="仿宋_GB2312" w:hAnsi="宋体" w:eastAsia="仿宋_GB2312" w:cs="Times New Roman"/>
          <w:b w:val="0"/>
          <w:bCs w:val="0"/>
          <w:kern w:val="2"/>
          <w:sz w:val="30"/>
          <w:szCs w:val="30"/>
          <w:lang w:val="en-US" w:eastAsia="zh-CN" w:bidi="ar-SA"/>
        </w:rPr>
        <w:t>加强物业管理基金的收缴与使用管理，加强对物业管理公司的监督，不断提升物业管理服务水平。</w:t>
      </w:r>
    </w:p>
    <w:p w14:paraId="5A528F1E">
      <w:pPr>
        <w:pStyle w:val="2"/>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firstLine="602" w:firstLineChars="200"/>
        <w:textAlignment w:val="auto"/>
        <w:rPr>
          <w:rFonts w:hint="default"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积极强化城镇房屋安全管理</w:t>
      </w:r>
    </w:p>
    <w:p w14:paraId="270EB63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00" w:firstLineChars="200"/>
        <w:textAlignment w:val="auto"/>
        <w:rPr>
          <w:rFonts w:hint="default" w:ascii="仿宋_GB2312" w:hAnsi="宋体" w:eastAsia="仿宋_GB2312" w:cs="Times New Roman"/>
          <w:b w:val="0"/>
          <w:bCs w:val="0"/>
          <w:kern w:val="2"/>
          <w:sz w:val="30"/>
          <w:szCs w:val="30"/>
          <w:lang w:val="en-US" w:eastAsia="zh-CN" w:bidi="ar-SA"/>
        </w:rPr>
      </w:pPr>
      <w:r>
        <w:rPr>
          <w:rFonts w:hint="eastAsia" w:ascii="仿宋_GB2312" w:hAnsi="宋体" w:eastAsia="仿宋_GB2312" w:cs="Times New Roman"/>
          <w:b w:val="0"/>
          <w:bCs w:val="0"/>
          <w:kern w:val="2"/>
          <w:sz w:val="30"/>
          <w:szCs w:val="30"/>
          <w:lang w:val="en-US" w:eastAsia="zh-CN" w:bidi="ar-SA"/>
        </w:rPr>
        <w:t>通过组织开展区域内房屋安全隐患排查，督促产权人或房管单位对存在安全隐患的房屋进行了整改，切实保护了国家和广大人民群众生命财产安全，强化了城镇房屋安全性。</w:t>
      </w:r>
    </w:p>
    <w:bookmarkEnd w:id="75"/>
    <w:bookmarkEnd w:id="76"/>
    <w:bookmarkEnd w:id="77"/>
    <w:p w14:paraId="02DDFDE2">
      <w:pPr>
        <w:keepNext w:val="0"/>
        <w:keepLines w:val="0"/>
        <w:pageBreakBefore w:val="0"/>
        <w:widowControl w:val="0"/>
        <w:numPr>
          <w:ilvl w:val="255"/>
          <w:numId w:val="0"/>
        </w:numPr>
        <w:kinsoku/>
        <w:wordWrap/>
        <w:overflowPunct/>
        <w:topLinePunct w:val="0"/>
        <w:autoSpaceDE/>
        <w:autoSpaceDN/>
        <w:bidi w:val="0"/>
        <w:adjustRightInd/>
        <w:snapToGrid/>
        <w:spacing w:before="120" w:beforeLines="50" w:after="120" w:afterLines="50" w:line="360" w:lineRule="auto"/>
        <w:ind w:firstLine="643" w:firstLineChars="200"/>
        <w:textAlignment w:val="auto"/>
        <w:outlineLvl w:val="0"/>
        <w:rPr>
          <w:rFonts w:hint="eastAsia" w:ascii="黑体" w:hAnsi="黑体" w:eastAsia="黑体"/>
          <w:b/>
          <w:sz w:val="32"/>
          <w:szCs w:val="32"/>
        </w:rPr>
      </w:pPr>
      <w:bookmarkStart w:id="91" w:name="_Toc20875"/>
      <w:bookmarkStart w:id="92" w:name="_Toc5734"/>
      <w:bookmarkStart w:id="93" w:name="_Toc8696"/>
      <w:r>
        <w:rPr>
          <w:rFonts w:hint="eastAsia" w:ascii="黑体" w:hAnsi="黑体" w:eastAsia="黑体"/>
          <w:b/>
          <w:sz w:val="32"/>
          <w:szCs w:val="32"/>
        </w:rPr>
        <w:t>五、值得关注的问题</w:t>
      </w:r>
      <w:bookmarkEnd w:id="91"/>
      <w:bookmarkEnd w:id="92"/>
      <w:bookmarkEnd w:id="93"/>
    </w:p>
    <w:p w14:paraId="66C1856F">
      <w:pPr>
        <w:pageBreakBefore w:val="0"/>
        <w:widowControl w:val="0"/>
        <w:kinsoku/>
        <w:wordWrap/>
        <w:overflowPunct/>
        <w:topLinePunct w:val="0"/>
        <w:autoSpaceDE/>
        <w:autoSpaceDN/>
        <w:bidi w:val="0"/>
        <w:adjustRightInd/>
        <w:snapToGrid/>
        <w:spacing w:before="157" w:beforeLines="50" w:after="157" w:afterLines="50" w:line="360" w:lineRule="auto"/>
        <w:ind w:firstLine="602" w:firstLineChars="200"/>
        <w:textAlignment w:val="auto"/>
        <w:outlineLvl w:val="1"/>
        <w:rPr>
          <w:rFonts w:hint="eastAsia"/>
          <w:b/>
          <w:bCs/>
        </w:rPr>
      </w:pPr>
      <w:bookmarkStart w:id="94" w:name="_Toc30904"/>
      <w:bookmarkStart w:id="95" w:name="_Toc26946"/>
      <w:bookmarkStart w:id="96" w:name="_Toc6406"/>
      <w:r>
        <w:rPr>
          <w:rFonts w:hint="eastAsia"/>
          <w:b/>
          <w:bCs/>
          <w:lang w:eastAsia="zh-CN"/>
        </w:rPr>
        <w:t>（一）</w:t>
      </w:r>
      <w:r>
        <w:rPr>
          <w:rFonts w:hint="eastAsia"/>
          <w:b/>
          <w:bCs/>
        </w:rPr>
        <w:t>绩效目标设立问题</w:t>
      </w:r>
      <w:bookmarkEnd w:id="94"/>
      <w:bookmarkEnd w:id="95"/>
      <w:bookmarkEnd w:id="96"/>
    </w:p>
    <w:p w14:paraId="12B6EE5C">
      <w:pPr>
        <w:pageBreakBefore w:val="0"/>
        <w:widowControl w:val="0"/>
        <w:kinsoku/>
        <w:wordWrap/>
        <w:overflowPunct/>
        <w:topLinePunct w:val="0"/>
        <w:autoSpaceDE/>
        <w:autoSpaceDN/>
        <w:bidi w:val="0"/>
        <w:adjustRightInd/>
        <w:snapToGrid/>
        <w:spacing w:before="157" w:beforeLines="50" w:after="157" w:afterLines="50" w:line="360" w:lineRule="auto"/>
        <w:ind w:firstLine="600" w:firstLineChars="200"/>
        <w:textAlignment w:val="auto"/>
        <w:rPr>
          <w:rFonts w:ascii="仿宋_GB2312" w:hAnsi="宋体"/>
          <w:szCs w:val="30"/>
        </w:rPr>
      </w:pPr>
      <w:r>
        <w:rPr>
          <w:rFonts w:hint="eastAsia" w:ascii="仿宋_GB2312" w:hAnsi="宋体"/>
          <w:szCs w:val="30"/>
        </w:rPr>
        <w:t>县房管中心仅于2018年末明确了2019年的部门整体工作思路，并未设立清晰、细化、可衡量的部门整体绩效目标，不利于指导部门年度工作任务的开展，不利于考核部门履职情况和效益。</w:t>
      </w:r>
    </w:p>
    <w:p w14:paraId="322C0250">
      <w:pPr>
        <w:pageBreakBefore w:val="0"/>
        <w:widowControl w:val="0"/>
        <w:kinsoku/>
        <w:wordWrap/>
        <w:overflowPunct/>
        <w:topLinePunct w:val="0"/>
        <w:autoSpaceDE/>
        <w:autoSpaceDN/>
        <w:bidi w:val="0"/>
        <w:adjustRightInd/>
        <w:snapToGrid/>
        <w:spacing w:before="157" w:beforeLines="50" w:after="157" w:afterLines="50" w:line="360" w:lineRule="auto"/>
        <w:ind w:firstLine="602" w:firstLineChars="200"/>
        <w:textAlignment w:val="auto"/>
      </w:pPr>
      <w:r>
        <w:rPr>
          <w:rFonts w:hint="eastAsia" w:ascii="仿宋" w:hAnsi="仿宋" w:eastAsia="仿宋"/>
          <w:b/>
          <w:bCs/>
        </w:rPr>
        <w:t>（二）内控管理方面，部分内控制度执行不到位、</w:t>
      </w:r>
      <w:r>
        <w:rPr>
          <w:rFonts w:hint="eastAsia" w:ascii="仿宋" w:hAnsi="仿宋" w:eastAsia="仿宋"/>
          <w:b/>
          <w:bCs/>
          <w:kern w:val="0"/>
        </w:rPr>
        <w:t>资产管理有待规范</w:t>
      </w:r>
    </w:p>
    <w:p w14:paraId="1EA67BA7">
      <w:pPr>
        <w:pageBreakBefore w:val="0"/>
        <w:widowControl w:val="0"/>
        <w:kinsoku/>
        <w:wordWrap/>
        <w:overflowPunct/>
        <w:topLinePunct w:val="0"/>
        <w:autoSpaceDE/>
        <w:autoSpaceDN/>
        <w:bidi w:val="0"/>
        <w:adjustRightInd/>
        <w:snapToGrid/>
        <w:spacing w:before="157" w:beforeLines="50" w:after="157" w:afterLines="50" w:line="360" w:lineRule="auto"/>
        <w:ind w:firstLine="602" w:firstLineChars="200"/>
        <w:textAlignment w:val="auto"/>
        <w:rPr>
          <w:rFonts w:ascii="仿宋_GB2312" w:hAnsi="宋体"/>
          <w:szCs w:val="30"/>
        </w:rPr>
      </w:pPr>
      <w:r>
        <w:rPr>
          <w:rFonts w:hint="eastAsia" w:ascii="仿宋_GB2312" w:hAnsi="宋体"/>
          <w:b/>
          <w:bCs/>
          <w:szCs w:val="30"/>
        </w:rPr>
        <w:t>一是</w:t>
      </w:r>
      <w:r>
        <w:rPr>
          <w:rFonts w:hint="eastAsia" w:ascii="仿宋_GB2312" w:hAnsi="宋体"/>
          <w:szCs w:val="30"/>
          <w:lang w:eastAsia="zh-CN"/>
        </w:rPr>
        <w:t>县房管中心</w:t>
      </w:r>
      <w:r>
        <w:rPr>
          <w:rFonts w:hint="eastAsia" w:ascii="仿宋_GB2312" w:hAnsi="宋体"/>
          <w:szCs w:val="30"/>
        </w:rPr>
        <w:t>建立了《巫溪县房屋管理服务中心内部控制制度》，各项业务开展基本按照内控制度的规定执行，但存在少数情况未严格执行内控制度的要求，如：</w:t>
      </w:r>
      <w:r>
        <w:rPr>
          <w:rFonts w:ascii="仿宋_GB2312" w:hAnsi="宋体"/>
          <w:szCs w:val="30"/>
        </w:rPr>
        <w:fldChar w:fldCharType="begin"/>
      </w:r>
      <w:r>
        <w:rPr>
          <w:rFonts w:ascii="仿宋_GB2312" w:hAnsi="宋体"/>
          <w:szCs w:val="30"/>
        </w:rPr>
        <w:instrText xml:space="preserve"> </w:instrText>
      </w:r>
      <w:r>
        <w:rPr>
          <w:rFonts w:hint="eastAsia" w:ascii="仿宋_GB2312" w:hAnsi="宋体"/>
          <w:szCs w:val="30"/>
        </w:rPr>
        <w:instrText xml:space="preserve">= 1 \* GB3</w:instrText>
      </w:r>
      <w:r>
        <w:rPr>
          <w:rFonts w:ascii="仿宋_GB2312" w:hAnsi="宋体"/>
          <w:szCs w:val="30"/>
        </w:rPr>
        <w:instrText xml:space="preserve"> </w:instrText>
      </w:r>
      <w:r>
        <w:rPr>
          <w:rFonts w:ascii="仿宋_GB2312" w:hAnsi="宋体"/>
          <w:szCs w:val="30"/>
        </w:rPr>
        <w:fldChar w:fldCharType="separate"/>
      </w:r>
      <w:r>
        <w:rPr>
          <w:rFonts w:hint="eastAsia" w:ascii="仿宋_GB2312" w:hAnsi="宋体"/>
          <w:szCs w:val="30"/>
        </w:rPr>
        <w:t>①</w:t>
      </w:r>
      <w:r>
        <w:rPr>
          <w:rFonts w:ascii="仿宋_GB2312" w:hAnsi="宋体"/>
          <w:szCs w:val="30"/>
        </w:rPr>
        <w:fldChar w:fldCharType="end"/>
      </w:r>
      <w:r>
        <w:rPr>
          <w:rFonts w:hint="eastAsia" w:ascii="仿宋_GB2312" w:hAnsi="宋体"/>
          <w:szCs w:val="30"/>
        </w:rPr>
        <w:t>资产采购合同无单位盖章，验收单上无单位或验收人员的盖章或签字的情况；</w:t>
      </w:r>
      <w:r>
        <w:rPr>
          <w:rFonts w:ascii="仿宋_GB2312" w:hAnsi="宋体"/>
          <w:szCs w:val="30"/>
        </w:rPr>
        <w:fldChar w:fldCharType="begin"/>
      </w:r>
      <w:r>
        <w:rPr>
          <w:rFonts w:ascii="仿宋_GB2312" w:hAnsi="宋体"/>
          <w:szCs w:val="30"/>
        </w:rPr>
        <w:instrText xml:space="preserve"> </w:instrText>
      </w:r>
      <w:r>
        <w:rPr>
          <w:rFonts w:hint="eastAsia" w:ascii="仿宋_GB2312" w:hAnsi="宋体"/>
          <w:szCs w:val="30"/>
        </w:rPr>
        <w:instrText xml:space="preserve">= 2 \* GB3</w:instrText>
      </w:r>
      <w:r>
        <w:rPr>
          <w:rFonts w:ascii="仿宋_GB2312" w:hAnsi="宋体"/>
          <w:szCs w:val="30"/>
        </w:rPr>
        <w:instrText xml:space="preserve"> </w:instrText>
      </w:r>
      <w:r>
        <w:rPr>
          <w:rFonts w:ascii="仿宋_GB2312" w:hAnsi="宋体"/>
          <w:szCs w:val="30"/>
        </w:rPr>
        <w:fldChar w:fldCharType="separate"/>
      </w:r>
      <w:r>
        <w:rPr>
          <w:rFonts w:hint="eastAsia" w:ascii="仿宋_GB2312" w:hAnsi="宋体"/>
          <w:szCs w:val="30"/>
        </w:rPr>
        <w:t>②</w:t>
      </w:r>
      <w:r>
        <w:rPr>
          <w:rFonts w:ascii="仿宋_GB2312" w:hAnsi="宋体"/>
          <w:szCs w:val="30"/>
        </w:rPr>
        <w:fldChar w:fldCharType="end"/>
      </w:r>
      <w:r>
        <w:rPr>
          <w:rFonts w:hint="eastAsia" w:ascii="仿宋_GB2312" w:hAnsi="宋体"/>
          <w:szCs w:val="30"/>
        </w:rPr>
        <w:t>2019-2-19号凭证后附采购计划表无审批人签字的情况，导致资金使用流程不合规；</w:t>
      </w:r>
      <w:r>
        <w:rPr>
          <w:rFonts w:ascii="仿宋_GB2312" w:hAnsi="宋体"/>
          <w:szCs w:val="30"/>
        </w:rPr>
        <w:fldChar w:fldCharType="begin"/>
      </w:r>
      <w:r>
        <w:rPr>
          <w:rFonts w:ascii="仿宋_GB2312" w:hAnsi="宋体"/>
          <w:szCs w:val="30"/>
        </w:rPr>
        <w:instrText xml:space="preserve"> </w:instrText>
      </w:r>
      <w:r>
        <w:rPr>
          <w:rFonts w:hint="eastAsia" w:ascii="仿宋_GB2312" w:hAnsi="宋体"/>
          <w:szCs w:val="30"/>
        </w:rPr>
        <w:instrText xml:space="preserve">= 3 \* GB3</w:instrText>
      </w:r>
      <w:r>
        <w:rPr>
          <w:rFonts w:ascii="仿宋_GB2312" w:hAnsi="宋体"/>
          <w:szCs w:val="30"/>
        </w:rPr>
        <w:instrText xml:space="preserve"> </w:instrText>
      </w:r>
      <w:r>
        <w:rPr>
          <w:rFonts w:ascii="仿宋_GB2312" w:hAnsi="宋体"/>
          <w:szCs w:val="30"/>
        </w:rPr>
        <w:fldChar w:fldCharType="separate"/>
      </w:r>
      <w:r>
        <w:rPr>
          <w:rFonts w:hint="eastAsia" w:ascii="仿宋_GB2312" w:hAnsi="宋体"/>
          <w:szCs w:val="30"/>
        </w:rPr>
        <w:t>③</w:t>
      </w:r>
      <w:r>
        <w:rPr>
          <w:rFonts w:ascii="仿宋_GB2312" w:hAnsi="宋体"/>
          <w:szCs w:val="30"/>
        </w:rPr>
        <w:fldChar w:fldCharType="end"/>
      </w:r>
      <w:r>
        <w:rPr>
          <w:rFonts w:hint="eastAsia" w:ascii="仿宋_GB2312" w:hAnsi="宋体"/>
          <w:szCs w:val="30"/>
        </w:rPr>
        <w:t>未按内控制度要求编制年度财务总结报告，物业检查工作缺乏检查台账导致无法准确核实工作开展情况。</w:t>
      </w:r>
    </w:p>
    <w:p w14:paraId="65F3359A">
      <w:pPr>
        <w:pageBreakBefore w:val="0"/>
        <w:widowControl w:val="0"/>
        <w:kinsoku/>
        <w:wordWrap/>
        <w:overflowPunct/>
        <w:topLinePunct w:val="0"/>
        <w:autoSpaceDE/>
        <w:autoSpaceDN/>
        <w:bidi w:val="0"/>
        <w:adjustRightInd/>
        <w:snapToGrid/>
        <w:spacing w:before="157" w:beforeLines="50" w:after="157" w:afterLines="50" w:line="360" w:lineRule="auto"/>
        <w:ind w:firstLine="602" w:firstLineChars="200"/>
        <w:textAlignment w:val="auto"/>
        <w:rPr>
          <w:rFonts w:ascii="仿宋_GB2312" w:hAnsi="宋体"/>
          <w:szCs w:val="30"/>
        </w:rPr>
      </w:pPr>
      <w:r>
        <w:rPr>
          <w:rFonts w:hint="eastAsia" w:ascii="仿宋_GB2312" w:hAnsi="宋体"/>
          <w:b/>
          <w:bCs/>
          <w:szCs w:val="30"/>
        </w:rPr>
        <w:t>二是</w:t>
      </w:r>
      <w:r>
        <w:rPr>
          <w:rFonts w:hint="eastAsia" w:ascii="仿宋_GB2312" w:hAnsi="宋体"/>
          <w:szCs w:val="30"/>
          <w:lang w:eastAsia="zh-CN"/>
        </w:rPr>
        <w:t>县房管中心</w:t>
      </w:r>
      <w:r>
        <w:rPr>
          <w:rFonts w:hint="eastAsia" w:ascii="仿宋_GB2312" w:hAnsi="宋体"/>
          <w:szCs w:val="30"/>
        </w:rPr>
        <w:t>以前年度建设完成的公共租赁房屋均已投入使用，经过检查相关的财务资料，公共租赁房屋一直按在建工程核算，未及时转固并按固定资产进行管理，不利于资产价值的核算及折旧管理。根据《基本建设财务规则》项目竣工验收合格后应当及时办理资产交付使用手续，已交付使用但尚未办理竣工决算手续的固定资产，应当按照估计价值入账，待办理竣工决算后再按实际成本调整原来的暂估价值……竣工价款结算一般应当在项目竣工验收后2个月内完成，大型项目一般不得超过3个月。</w:t>
      </w:r>
    </w:p>
    <w:p w14:paraId="6402B40F">
      <w:pPr>
        <w:pageBreakBefore w:val="0"/>
        <w:widowControl w:val="0"/>
        <w:kinsoku/>
        <w:wordWrap/>
        <w:overflowPunct/>
        <w:topLinePunct w:val="0"/>
        <w:autoSpaceDE/>
        <w:autoSpaceDN/>
        <w:bidi w:val="0"/>
        <w:adjustRightInd/>
        <w:snapToGrid/>
        <w:spacing w:before="157" w:beforeLines="50" w:after="157" w:afterLines="50" w:line="360" w:lineRule="auto"/>
        <w:ind w:firstLine="602" w:firstLineChars="200"/>
        <w:textAlignment w:val="auto"/>
        <w:outlineLvl w:val="1"/>
        <w:rPr>
          <w:rFonts w:hint="eastAsia" w:eastAsia="仿宋_GB2312"/>
          <w:b/>
          <w:bCs/>
          <w:lang w:eastAsia="zh-CN"/>
        </w:rPr>
      </w:pPr>
      <w:bookmarkStart w:id="97" w:name="_Toc12321"/>
      <w:bookmarkStart w:id="98" w:name="_Toc22842"/>
      <w:bookmarkStart w:id="99" w:name="_Toc6282"/>
      <w:bookmarkStart w:id="100" w:name="_Toc12976"/>
      <w:bookmarkStart w:id="101" w:name="_Toc29439"/>
      <w:r>
        <w:rPr>
          <w:rFonts w:hint="eastAsia"/>
          <w:b/>
          <w:bCs/>
        </w:rPr>
        <w:t>（三）</w:t>
      </w:r>
      <w:bookmarkEnd w:id="97"/>
      <w:r>
        <w:rPr>
          <w:rFonts w:hint="eastAsia"/>
          <w:b/>
          <w:bCs/>
        </w:rPr>
        <w:t>业务管理方面，建设项目管理及</w:t>
      </w:r>
      <w:r>
        <w:rPr>
          <w:rFonts w:hint="eastAsia" w:ascii="仿宋_GB2312" w:hAnsi="宋体"/>
          <w:b/>
          <w:szCs w:val="30"/>
        </w:rPr>
        <w:t>日常维护考核管理</w:t>
      </w:r>
      <w:r>
        <w:rPr>
          <w:rFonts w:hint="eastAsia"/>
          <w:b/>
          <w:bCs/>
        </w:rPr>
        <w:t>有待加强</w:t>
      </w:r>
      <w:bookmarkEnd w:id="98"/>
      <w:bookmarkEnd w:id="99"/>
      <w:bookmarkEnd w:id="100"/>
      <w:bookmarkEnd w:id="101"/>
    </w:p>
    <w:p w14:paraId="52A72D25">
      <w:pPr>
        <w:pageBreakBefore w:val="0"/>
        <w:widowControl w:val="0"/>
        <w:kinsoku/>
        <w:wordWrap/>
        <w:overflowPunct/>
        <w:topLinePunct w:val="0"/>
        <w:autoSpaceDE/>
        <w:autoSpaceDN/>
        <w:bidi w:val="0"/>
        <w:adjustRightInd/>
        <w:snapToGrid/>
        <w:spacing w:before="157" w:beforeLines="50" w:after="157" w:afterLines="50" w:line="360" w:lineRule="auto"/>
        <w:ind w:firstLine="602" w:firstLineChars="200"/>
        <w:textAlignment w:val="auto"/>
        <w:rPr>
          <w:rFonts w:ascii="仿宋_GB2312" w:hAnsi="宋体"/>
          <w:szCs w:val="30"/>
        </w:rPr>
      </w:pPr>
      <w:r>
        <w:rPr>
          <w:rFonts w:hint="eastAsia" w:ascii="仿宋_GB2312" w:hAnsi="宋体"/>
          <w:b/>
          <w:bCs/>
          <w:szCs w:val="30"/>
        </w:rPr>
        <w:t>一是</w:t>
      </w:r>
      <w:r>
        <w:rPr>
          <w:rFonts w:hint="eastAsia"/>
          <w:b/>
          <w:bCs/>
        </w:rPr>
        <w:t>建设项目管理有待提高。</w:t>
      </w:r>
      <w:r>
        <w:rPr>
          <w:rFonts w:hint="eastAsia" w:ascii="仿宋_GB2312" w:hAnsi="宋体"/>
          <w:szCs w:val="30"/>
        </w:rPr>
        <w:t>通过查看项目施工现场以及项目资料，发现存在问题：白马小区公共租赁房屋配套项目的监理日志及相关资料上缺乏人员签字</w:t>
      </w:r>
      <w:r>
        <w:rPr>
          <w:rFonts w:hint="eastAsia" w:ascii="仿宋_GB2312" w:hAnsi="宋体"/>
          <w:szCs w:val="30"/>
          <w:lang w:eastAsia="zh-CN"/>
        </w:rPr>
        <w:t>；</w:t>
      </w:r>
      <w:r>
        <w:rPr>
          <w:rFonts w:hint="eastAsia" w:ascii="仿宋_GB2312" w:hAnsi="宋体"/>
          <w:szCs w:val="30"/>
        </w:rPr>
        <w:t>另外，该项目计划工期180天，结合现场实地勘察和与项目负责人访谈，项目预计2020年11月份完工，完工时间明显滞后</w:t>
      </w:r>
      <w:r>
        <w:rPr>
          <w:rFonts w:hint="eastAsia" w:ascii="仿宋_GB2312" w:hAnsi="宋体"/>
          <w:szCs w:val="30"/>
          <w:lang w:eastAsia="zh-CN"/>
        </w:rPr>
        <w:t>；还有，</w:t>
      </w:r>
      <w:r>
        <w:rPr>
          <w:rFonts w:hint="eastAsia" w:ascii="仿宋_GB2312" w:hAnsi="宋体"/>
          <w:szCs w:val="30"/>
        </w:rPr>
        <w:t>金穗雅苑廉租住房小区基础设施配套工程的部分档案资料管理不规范。</w:t>
      </w:r>
    </w:p>
    <w:p w14:paraId="3E448094">
      <w:pPr>
        <w:pageBreakBefore w:val="0"/>
        <w:widowControl w:val="0"/>
        <w:kinsoku/>
        <w:wordWrap/>
        <w:overflowPunct/>
        <w:topLinePunct w:val="0"/>
        <w:autoSpaceDE/>
        <w:autoSpaceDN/>
        <w:bidi w:val="0"/>
        <w:adjustRightInd/>
        <w:snapToGrid/>
        <w:spacing w:before="157" w:beforeLines="50" w:after="157" w:afterLines="50" w:line="360" w:lineRule="auto"/>
        <w:ind w:firstLine="602" w:firstLineChars="200"/>
        <w:textAlignment w:val="auto"/>
        <w:rPr>
          <w:rFonts w:ascii="仿宋_GB2312" w:hAnsi="宋体"/>
          <w:szCs w:val="30"/>
        </w:rPr>
      </w:pPr>
      <w:r>
        <w:rPr>
          <w:rFonts w:hint="eastAsia" w:ascii="仿宋_GB2312" w:hAnsi="宋体"/>
          <w:b/>
          <w:bCs/>
          <w:szCs w:val="30"/>
        </w:rPr>
        <w:t>二是</w:t>
      </w:r>
      <w:r>
        <w:rPr>
          <w:rFonts w:hint="eastAsia" w:ascii="仿宋_GB2312" w:hAnsi="宋体"/>
          <w:b/>
          <w:szCs w:val="30"/>
        </w:rPr>
        <w:t>日常维护考核不到位。</w:t>
      </w:r>
      <w:r>
        <w:rPr>
          <w:rFonts w:hint="eastAsia" w:ascii="仿宋_GB2312" w:hAnsi="宋体"/>
          <w:szCs w:val="30"/>
        </w:rPr>
        <w:t>县房管中心委托重庆市两江物业管理有限公司对巫溪县城新建的公共租赁房进行日常维护，委托乡</w:t>
      </w:r>
      <w:r>
        <w:rPr>
          <w:rFonts w:hint="eastAsia" w:ascii="仿宋_GB2312" w:hAnsi="宋体"/>
          <w:szCs w:val="30"/>
          <w:lang w:eastAsia="zh-CN"/>
        </w:rPr>
        <w:t>镇</w:t>
      </w:r>
      <w:r>
        <w:rPr>
          <w:rFonts w:hint="eastAsia" w:ascii="仿宋_GB2312" w:hAnsi="宋体"/>
          <w:szCs w:val="30"/>
        </w:rPr>
        <w:t>政府对各乡</w:t>
      </w:r>
      <w:r>
        <w:rPr>
          <w:rFonts w:hint="eastAsia" w:ascii="仿宋_GB2312" w:hAnsi="宋体"/>
          <w:szCs w:val="30"/>
          <w:lang w:eastAsia="zh-CN"/>
        </w:rPr>
        <w:t>镇</w:t>
      </w:r>
      <w:r>
        <w:rPr>
          <w:rFonts w:hint="eastAsia" w:ascii="仿宋_GB2312" w:hAnsi="宋体"/>
          <w:szCs w:val="30"/>
        </w:rPr>
        <w:t>的公共租赁房进行日常维护，但并未建立对第三方的监督考核机制，并未对受托方的维护内容和质量进行有效监督和考核，日常维护质量无从考评。</w:t>
      </w:r>
    </w:p>
    <w:p w14:paraId="34712FFE">
      <w:pPr>
        <w:pageBreakBefore w:val="0"/>
        <w:widowControl w:val="0"/>
        <w:kinsoku/>
        <w:wordWrap/>
        <w:overflowPunct/>
        <w:topLinePunct w:val="0"/>
        <w:autoSpaceDE/>
        <w:autoSpaceDN/>
        <w:bidi w:val="0"/>
        <w:adjustRightInd/>
        <w:snapToGrid/>
        <w:spacing w:before="157" w:beforeLines="50" w:after="157" w:afterLines="50" w:line="360" w:lineRule="auto"/>
        <w:ind w:firstLine="602" w:firstLineChars="200"/>
        <w:textAlignment w:val="auto"/>
        <w:outlineLvl w:val="1"/>
        <w:rPr>
          <w:b/>
          <w:bCs/>
        </w:rPr>
      </w:pPr>
      <w:bookmarkStart w:id="102" w:name="_Toc30106"/>
      <w:bookmarkStart w:id="103" w:name="_Toc3466"/>
      <w:bookmarkStart w:id="104" w:name="_Toc31988"/>
      <w:bookmarkStart w:id="105" w:name="_Toc4813"/>
      <w:bookmarkStart w:id="106" w:name="_Toc13134"/>
      <w:r>
        <w:rPr>
          <w:rFonts w:hint="eastAsia"/>
          <w:b/>
          <w:bCs/>
        </w:rPr>
        <w:t>（四）房屋租金收缴机制</w:t>
      </w:r>
      <w:bookmarkEnd w:id="102"/>
      <w:r>
        <w:rPr>
          <w:rFonts w:hint="eastAsia"/>
          <w:b/>
          <w:bCs/>
        </w:rPr>
        <w:t>、</w:t>
      </w:r>
      <w:bookmarkStart w:id="107" w:name="_Toc2401"/>
      <w:r>
        <w:rPr>
          <w:rFonts w:hint="eastAsia"/>
          <w:b/>
          <w:bCs/>
        </w:rPr>
        <w:t>大</w:t>
      </w:r>
      <w:bookmarkEnd w:id="107"/>
      <w:r>
        <w:rPr>
          <w:rFonts w:hint="eastAsia"/>
          <w:b/>
          <w:bCs/>
        </w:rPr>
        <w:t>修基金收缴方式有待优化</w:t>
      </w:r>
      <w:bookmarkEnd w:id="103"/>
      <w:bookmarkEnd w:id="104"/>
      <w:bookmarkEnd w:id="105"/>
      <w:bookmarkEnd w:id="106"/>
    </w:p>
    <w:p w14:paraId="49F1A6AE">
      <w:pPr>
        <w:pageBreakBefore w:val="0"/>
        <w:widowControl w:val="0"/>
        <w:kinsoku/>
        <w:wordWrap/>
        <w:overflowPunct/>
        <w:topLinePunct w:val="0"/>
        <w:autoSpaceDE/>
        <w:autoSpaceDN/>
        <w:bidi w:val="0"/>
        <w:adjustRightInd/>
        <w:snapToGrid/>
        <w:spacing w:before="157" w:beforeLines="50" w:after="157" w:afterLines="50" w:line="360" w:lineRule="auto"/>
        <w:ind w:firstLine="602" w:firstLineChars="200"/>
        <w:textAlignment w:val="auto"/>
        <w:rPr>
          <w:rFonts w:ascii="仿宋_GB2312" w:hAnsi="宋体"/>
          <w:szCs w:val="30"/>
        </w:rPr>
      </w:pPr>
      <w:r>
        <w:rPr>
          <w:rFonts w:hint="eastAsia" w:ascii="仿宋_GB2312" w:hAnsi="宋体"/>
          <w:b/>
          <w:bCs/>
          <w:szCs w:val="30"/>
        </w:rPr>
        <w:t>一是</w:t>
      </w:r>
      <w:r>
        <w:rPr>
          <w:rFonts w:hint="eastAsia" w:ascii="仿宋_GB2312" w:hAnsi="宋体"/>
          <w:szCs w:val="30"/>
        </w:rPr>
        <w:t>通过询问访谈得知乡镇公共租赁房存在抗租现象，有群众直接搬入公共租赁房居住，并拒绝缴纳租金，严重影响公共租赁房运行秩序，造成不良影响。</w:t>
      </w:r>
    </w:p>
    <w:p w14:paraId="44D0619F">
      <w:pPr>
        <w:pageBreakBefore w:val="0"/>
        <w:widowControl w:val="0"/>
        <w:kinsoku/>
        <w:wordWrap/>
        <w:overflowPunct/>
        <w:topLinePunct w:val="0"/>
        <w:autoSpaceDE/>
        <w:autoSpaceDN/>
        <w:bidi w:val="0"/>
        <w:adjustRightInd/>
        <w:snapToGrid/>
        <w:spacing w:before="157" w:beforeLines="50" w:after="157" w:afterLines="50" w:line="360" w:lineRule="auto"/>
        <w:ind w:firstLine="602" w:firstLineChars="200"/>
        <w:textAlignment w:val="auto"/>
        <w:rPr>
          <w:rFonts w:ascii="仿宋_GB2312" w:hAnsi="宋体"/>
          <w:szCs w:val="30"/>
        </w:rPr>
      </w:pPr>
      <w:r>
        <w:rPr>
          <w:rFonts w:hint="eastAsia"/>
          <w:b/>
          <w:bCs/>
        </w:rPr>
        <w:t>二是</w:t>
      </w:r>
      <w:r>
        <w:rPr>
          <w:rFonts w:hint="eastAsia" w:ascii="仿宋_GB2312" w:hAnsi="宋体"/>
          <w:szCs w:val="30"/>
        </w:rPr>
        <w:t>巫溪县大修基金的收取方式为先由开发商代收，再由开发商上缴至县房管中心，部分开发商收取购房者的物业专项资金后迟迟未上缴，导致物业专项资金不能及时收取到位，而物业科无执法权，不能进行有效控制，无法保证广大购房者的合法权益。</w:t>
      </w:r>
    </w:p>
    <w:p w14:paraId="3E18FCE4">
      <w:pPr>
        <w:keepNext w:val="0"/>
        <w:keepLines w:val="0"/>
        <w:pageBreakBefore w:val="0"/>
        <w:widowControl w:val="0"/>
        <w:numPr>
          <w:ilvl w:val="255"/>
          <w:numId w:val="0"/>
        </w:numPr>
        <w:kinsoku/>
        <w:wordWrap/>
        <w:overflowPunct/>
        <w:topLinePunct w:val="0"/>
        <w:autoSpaceDE/>
        <w:autoSpaceDN/>
        <w:bidi w:val="0"/>
        <w:adjustRightInd/>
        <w:snapToGrid/>
        <w:spacing w:before="120" w:beforeLines="50" w:after="120" w:afterLines="50" w:line="360" w:lineRule="auto"/>
        <w:ind w:firstLine="643" w:firstLineChars="200"/>
        <w:textAlignment w:val="auto"/>
        <w:outlineLvl w:val="0"/>
        <w:rPr>
          <w:rFonts w:hint="eastAsia" w:ascii="黑体" w:hAnsi="黑体" w:eastAsia="黑体"/>
          <w:b/>
          <w:sz w:val="32"/>
          <w:szCs w:val="32"/>
        </w:rPr>
      </w:pPr>
      <w:bookmarkStart w:id="108" w:name="_Toc22632"/>
      <w:bookmarkStart w:id="109" w:name="_Toc24081"/>
      <w:bookmarkStart w:id="110" w:name="_Toc19616"/>
      <w:r>
        <w:rPr>
          <w:rFonts w:hint="eastAsia" w:ascii="黑体" w:hAnsi="黑体" w:eastAsia="黑体"/>
          <w:b/>
          <w:sz w:val="32"/>
          <w:szCs w:val="32"/>
        </w:rPr>
        <w:t>六、主要建议</w:t>
      </w:r>
      <w:bookmarkEnd w:id="108"/>
      <w:bookmarkEnd w:id="109"/>
      <w:bookmarkEnd w:id="110"/>
    </w:p>
    <w:p w14:paraId="3720CDB3">
      <w:pPr>
        <w:pStyle w:val="3"/>
        <w:keepNext w:val="0"/>
        <w:pageBreakBefore w:val="0"/>
        <w:widowControl w:val="0"/>
        <w:kinsoku/>
        <w:wordWrap/>
        <w:overflowPunct/>
        <w:topLinePunct w:val="0"/>
        <w:autoSpaceDE/>
        <w:autoSpaceDN/>
        <w:bidi w:val="0"/>
        <w:adjustRightInd/>
        <w:snapToGrid/>
        <w:spacing w:before="157" w:beforeLines="50" w:after="157" w:afterLines="50" w:line="360" w:lineRule="auto"/>
        <w:ind w:firstLine="522" w:firstLineChars="200"/>
        <w:textAlignment w:val="auto"/>
        <w:rPr>
          <w:rFonts w:hint="eastAsia" w:ascii="仿宋_GB2312" w:hAnsi="仿宋_GB2312" w:eastAsia="仿宋_GB2312"/>
          <w:bCs w:val="0"/>
          <w:spacing w:val="-10"/>
          <w:sz w:val="30"/>
          <w:szCs w:val="30"/>
          <w:lang w:eastAsia="zh-CN"/>
        </w:rPr>
      </w:pPr>
      <w:bookmarkStart w:id="111" w:name="_Toc8831"/>
      <w:bookmarkStart w:id="112" w:name="_Toc17532"/>
      <w:r>
        <w:rPr>
          <w:rFonts w:hint="eastAsia" w:ascii="仿宋_GB2312" w:hAnsi="仿宋_GB2312"/>
          <w:spacing w:val="-10"/>
          <w:szCs w:val="30"/>
        </w:rPr>
        <w:t>（一）</w:t>
      </w:r>
      <w:r>
        <w:rPr>
          <w:rFonts w:hint="eastAsia" w:ascii="仿宋_GB2312" w:hAnsi="仿宋_GB2312" w:eastAsia="仿宋_GB2312"/>
          <w:bCs w:val="0"/>
          <w:spacing w:val="-10"/>
          <w:sz w:val="30"/>
          <w:szCs w:val="30"/>
        </w:rPr>
        <w:t>规范设定绩效目标，保证目标清晰可量化</w:t>
      </w:r>
      <w:bookmarkEnd w:id="111"/>
      <w:bookmarkEnd w:id="112"/>
    </w:p>
    <w:p w14:paraId="1180355C">
      <w:pPr>
        <w:keepLines/>
        <w:pageBreakBefore w:val="0"/>
        <w:widowControl w:val="0"/>
        <w:kinsoku/>
        <w:wordWrap/>
        <w:overflowPunct/>
        <w:topLinePunct w:val="0"/>
        <w:autoSpaceDE/>
        <w:autoSpaceDN/>
        <w:bidi w:val="0"/>
        <w:adjustRightInd/>
        <w:snapToGrid/>
        <w:spacing w:before="157" w:beforeLines="50" w:after="157" w:afterLines="50" w:line="360" w:lineRule="auto"/>
        <w:ind w:firstLine="602" w:firstLineChars="200"/>
        <w:textAlignment w:val="auto"/>
        <w:rPr>
          <w:rFonts w:ascii="仿宋_GB2312" w:hAnsi="宋体"/>
          <w:szCs w:val="30"/>
        </w:rPr>
      </w:pPr>
      <w:r>
        <w:rPr>
          <w:rFonts w:hint="eastAsia" w:ascii="仿宋_GB2312" w:hAnsi="宋体"/>
          <w:b/>
          <w:bCs/>
          <w:szCs w:val="30"/>
        </w:rPr>
        <w:t>一是</w:t>
      </w:r>
      <w:r>
        <w:rPr>
          <w:rFonts w:hint="eastAsia" w:ascii="仿宋_GB2312" w:hAnsi="宋体"/>
          <w:szCs w:val="30"/>
        </w:rPr>
        <w:t>根据部门各个科室岗位职责以及上级下达的目标任务，认真设定部门年度绩效目标；</w:t>
      </w:r>
      <w:r>
        <w:rPr>
          <w:rFonts w:hint="eastAsia" w:ascii="仿宋_GB2312" w:hAnsi="宋体"/>
          <w:b/>
          <w:bCs/>
          <w:szCs w:val="30"/>
        </w:rPr>
        <w:t>二是</w:t>
      </w:r>
      <w:r>
        <w:rPr>
          <w:rFonts w:hint="eastAsia" w:ascii="仿宋_GB2312" w:hAnsi="宋体"/>
          <w:szCs w:val="30"/>
        </w:rPr>
        <w:t>目标的设定必须清晰、细化、可衡量，尽量设置定量目标而非定性目标，充分发挥绩效目标的指导和约束作用。</w:t>
      </w:r>
    </w:p>
    <w:p w14:paraId="4CFE3D60">
      <w:pPr>
        <w:pStyle w:val="3"/>
        <w:keepNext w:val="0"/>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eastAsia" w:ascii="仿宋_GB2312" w:hAnsi="仿宋_GB2312" w:eastAsia="仿宋_GB2312"/>
          <w:bCs w:val="0"/>
          <w:spacing w:val="-10"/>
          <w:sz w:val="30"/>
          <w:szCs w:val="30"/>
        </w:rPr>
      </w:pPr>
      <w:bookmarkStart w:id="113" w:name="_Toc24396"/>
      <w:bookmarkStart w:id="114" w:name="_Toc15716"/>
      <w:r>
        <w:rPr>
          <w:rFonts w:hint="eastAsia" w:ascii="仿宋_GB2312" w:hAnsi="仿宋_GB2312" w:eastAsia="仿宋_GB2312"/>
          <w:bCs w:val="0"/>
          <w:spacing w:val="-10"/>
          <w:sz w:val="30"/>
          <w:szCs w:val="30"/>
          <w:lang w:eastAsia="zh-CN"/>
        </w:rPr>
        <w:t>（二）</w:t>
      </w:r>
      <w:r>
        <w:rPr>
          <w:rFonts w:hint="eastAsia" w:ascii="仿宋_GB2312" w:hAnsi="仿宋_GB2312" w:eastAsia="仿宋_GB2312"/>
          <w:bCs w:val="0"/>
          <w:spacing w:val="-10"/>
          <w:sz w:val="30"/>
          <w:szCs w:val="30"/>
        </w:rPr>
        <w:t>严格执行内控管理制度，规范项目管理流程，建立监督考核机制</w:t>
      </w:r>
      <w:bookmarkEnd w:id="113"/>
      <w:bookmarkEnd w:id="114"/>
      <w:bookmarkStart w:id="115" w:name="_Toc21590"/>
      <w:bookmarkStart w:id="116" w:name="_Toc29109"/>
    </w:p>
    <w:bookmarkEnd w:id="115"/>
    <w:bookmarkEnd w:id="116"/>
    <w:p w14:paraId="2AA21F9B">
      <w:pPr>
        <w:keepNext w:val="0"/>
        <w:pageBreakBefore w:val="0"/>
        <w:widowControl w:val="0"/>
        <w:kinsoku/>
        <w:wordWrap/>
        <w:overflowPunct/>
        <w:topLinePunct w:val="0"/>
        <w:autoSpaceDE/>
        <w:autoSpaceDN/>
        <w:bidi w:val="0"/>
        <w:adjustRightInd/>
        <w:snapToGrid/>
        <w:spacing w:before="157" w:beforeLines="50" w:after="157" w:afterLines="50" w:line="360" w:lineRule="auto"/>
        <w:ind w:firstLine="600" w:firstLineChars="200"/>
        <w:textAlignment w:val="auto"/>
        <w:rPr>
          <w:rFonts w:hint="eastAsia"/>
        </w:rPr>
      </w:pPr>
      <w:r>
        <w:rPr>
          <w:rFonts w:hint="eastAsia" w:ascii="仿宋_GB2312" w:hAnsi="宋体"/>
          <w:szCs w:val="30"/>
          <w:lang w:eastAsia="zh-CN"/>
        </w:rPr>
        <w:t>县房管中心各</w:t>
      </w:r>
      <w:r>
        <w:rPr>
          <w:rFonts w:hint="eastAsia"/>
          <w:lang w:val="en-US" w:eastAsia="zh-CN"/>
        </w:rPr>
        <w:t>县房管中心各岗位</w:t>
      </w:r>
      <w:r>
        <w:rPr>
          <w:rFonts w:hint="eastAsia"/>
        </w:rPr>
        <w:t>人员应当按照内控制度的要求规范操作业务流程，提高业务流程的规范性，保证制度执行的规范、安全、有效。资产账务处理应严格按照事业单位相关财务制度要求执行，不能随意处理。项目监理人员应当</w:t>
      </w:r>
      <w:r>
        <w:rPr>
          <w:rFonts w:hint="eastAsia"/>
          <w:lang w:val="en-US" w:eastAsia="zh-CN"/>
        </w:rPr>
        <w:t>严格</w:t>
      </w:r>
      <w:r>
        <w:rPr>
          <w:rFonts w:hint="eastAsia"/>
        </w:rPr>
        <w:t>履行监理职责，认真监督施工过程，严格把控施工质量和施工进度，对于工程项目资料，应规范、有序归档和保管，确保各项内控管理</w:t>
      </w:r>
      <w:r>
        <w:rPr>
          <w:rFonts w:hint="eastAsia"/>
          <w:lang w:val="en-US" w:eastAsia="zh-CN"/>
        </w:rPr>
        <w:t>制度执</w:t>
      </w:r>
      <w:r>
        <w:rPr>
          <w:rFonts w:hint="eastAsia"/>
        </w:rPr>
        <w:t>行到位。县房管中心应当建立对第三方的监督考核机制，组织人员定期对物业公司以</w:t>
      </w:r>
      <w:r>
        <w:rPr>
          <w:rFonts w:hint="eastAsia"/>
          <w:lang w:val="en-US" w:eastAsia="zh-CN"/>
        </w:rPr>
        <w:t>及乡镇政</w:t>
      </w:r>
      <w:r>
        <w:rPr>
          <w:rFonts w:hint="eastAsia"/>
        </w:rPr>
        <w:t>府管理维护公共租赁房的效果进行考核，时刻掌握公共租赁房后期运行维护的现状和结果，保证管理维护的有效性，提高租户的满意度。</w:t>
      </w:r>
    </w:p>
    <w:p w14:paraId="19294C41">
      <w:pPr>
        <w:pStyle w:val="3"/>
        <w:keepNext w:val="0"/>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eastAsia" w:ascii="仿宋_GB2312" w:hAnsi="仿宋_GB2312" w:eastAsia="仿宋_GB2312"/>
          <w:bCs w:val="0"/>
          <w:spacing w:val="-10"/>
          <w:sz w:val="30"/>
          <w:szCs w:val="30"/>
          <w:lang w:eastAsia="zh-CN"/>
        </w:rPr>
      </w:pPr>
      <w:r>
        <w:rPr>
          <w:rFonts w:hint="eastAsia" w:ascii="仿宋_GB2312" w:hAnsi="仿宋_GB2312" w:eastAsia="仿宋_GB2312"/>
          <w:bCs w:val="0"/>
          <w:spacing w:val="-10"/>
          <w:sz w:val="30"/>
          <w:szCs w:val="30"/>
        </w:rPr>
        <w:t>（三）积极沟通协调，保证租金及时上缴财政</w:t>
      </w:r>
    </w:p>
    <w:p w14:paraId="15AFEDA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00" w:firstLineChars="200"/>
        <w:textAlignment w:val="auto"/>
      </w:pPr>
      <w:r>
        <w:rPr>
          <w:rFonts w:hint="eastAsia"/>
        </w:rPr>
        <w:t>县房管中心应当联合其他部门或单位，积极与租户沟通协调，尽可能减少抗租、欠租情况，保证公共租赁房项目安全、稳健运行。</w:t>
      </w:r>
    </w:p>
    <w:p w14:paraId="5A3BE965">
      <w:pPr>
        <w:pStyle w:val="3"/>
        <w:keepNext w:val="0"/>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eastAsia" w:ascii="仿宋_GB2312" w:hAnsi="仿宋_GB2312" w:eastAsia="仿宋_GB2312"/>
          <w:bCs w:val="0"/>
          <w:spacing w:val="-10"/>
          <w:sz w:val="30"/>
          <w:szCs w:val="30"/>
          <w:lang w:eastAsia="zh-CN"/>
        </w:rPr>
      </w:pPr>
      <w:bookmarkStart w:id="117" w:name="_Toc32465"/>
      <w:bookmarkStart w:id="118" w:name="_Toc13403"/>
      <w:r>
        <w:rPr>
          <w:rFonts w:hint="eastAsia" w:ascii="仿宋_GB2312" w:hAnsi="仿宋_GB2312" w:eastAsia="仿宋_GB2312"/>
          <w:bCs w:val="0"/>
          <w:spacing w:val="-10"/>
          <w:sz w:val="30"/>
          <w:szCs w:val="30"/>
        </w:rPr>
        <w:t>（四）调整专项资金收取方式，降低资金收取风险</w:t>
      </w:r>
      <w:bookmarkEnd w:id="117"/>
      <w:bookmarkEnd w:id="118"/>
    </w:p>
    <w:p w14:paraId="28584BA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00" w:firstLineChars="200"/>
        <w:textAlignment w:val="auto"/>
        <w:rPr>
          <w:rFonts w:hint="eastAsia"/>
        </w:rPr>
      </w:pPr>
      <w:bookmarkStart w:id="119" w:name="_Toc22412"/>
      <w:bookmarkStart w:id="120" w:name="_Toc32453"/>
      <w:r>
        <w:rPr>
          <w:rFonts w:hint="eastAsia"/>
        </w:rPr>
        <w:t>县政府各有关</w:t>
      </w:r>
      <w:r>
        <w:rPr>
          <w:rFonts w:hint="eastAsia"/>
          <w:lang w:val="en-US" w:eastAsia="zh-CN"/>
        </w:rPr>
        <w:t>单位应修改完善或重新</w:t>
      </w:r>
      <w:r>
        <w:rPr>
          <w:rFonts w:hint="eastAsia"/>
        </w:rPr>
        <w:t>制定专项资金上缴制度，将专项资金由开发商代缴</w:t>
      </w:r>
      <w:r>
        <w:rPr>
          <w:rFonts w:hint="eastAsia"/>
          <w:lang w:eastAsia="zh-CN"/>
        </w:rPr>
        <w:t>调整</w:t>
      </w:r>
      <w:r>
        <w:rPr>
          <w:rFonts w:hint="eastAsia"/>
        </w:rPr>
        <w:t>为购房者自主缴纳，专项资金的收取不</w:t>
      </w:r>
      <w:r>
        <w:rPr>
          <w:rFonts w:hint="eastAsia"/>
          <w:lang w:val="en-US" w:eastAsia="zh-CN"/>
        </w:rPr>
        <w:t>经过开发</w:t>
      </w:r>
      <w:r>
        <w:rPr>
          <w:rFonts w:hint="eastAsia"/>
        </w:rPr>
        <w:t>商，杜绝开发商截留、占用资金的风险，有效维护广大购房者的合法权益。</w:t>
      </w:r>
      <w:bookmarkEnd w:id="119"/>
      <w:bookmarkEnd w:id="120"/>
    </w:p>
    <w:p w14:paraId="35A98DC9">
      <w:pPr>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0"/>
        <w:rPr>
          <w:rFonts w:ascii="黑体" w:hAnsi="黑体" w:eastAsia="黑体"/>
          <w:b/>
          <w:sz w:val="32"/>
          <w:szCs w:val="32"/>
        </w:rPr>
      </w:pPr>
      <w:bookmarkStart w:id="121" w:name="_Toc19879"/>
    </w:p>
    <w:p w14:paraId="4450310E">
      <w:pPr>
        <w:pStyle w:val="2"/>
        <w:rPr>
          <w:rFonts w:ascii="黑体" w:hAnsi="黑体" w:eastAsia="黑体"/>
          <w:b/>
          <w:sz w:val="32"/>
          <w:szCs w:val="32"/>
        </w:rPr>
      </w:pPr>
    </w:p>
    <w:p w14:paraId="01530635">
      <w:pPr>
        <w:rPr>
          <w:rFonts w:ascii="黑体" w:hAnsi="黑体" w:eastAsia="黑体"/>
          <w:b/>
          <w:sz w:val="32"/>
          <w:szCs w:val="32"/>
        </w:rPr>
      </w:pPr>
    </w:p>
    <w:p w14:paraId="3F4DD8FB">
      <w:pPr>
        <w:pStyle w:val="2"/>
        <w:rPr>
          <w:rFonts w:ascii="黑体" w:hAnsi="黑体" w:eastAsia="黑体"/>
          <w:b/>
          <w:sz w:val="32"/>
          <w:szCs w:val="32"/>
        </w:rPr>
      </w:pPr>
    </w:p>
    <w:p w14:paraId="765B5D15">
      <w:pPr>
        <w:rPr>
          <w:rFonts w:ascii="黑体" w:hAnsi="黑体" w:eastAsia="黑体"/>
          <w:b/>
          <w:sz w:val="32"/>
          <w:szCs w:val="32"/>
        </w:rPr>
      </w:pPr>
    </w:p>
    <w:p w14:paraId="4A8567E3">
      <w:pPr>
        <w:keepNext w:val="0"/>
        <w:keepLines w:val="0"/>
        <w:pageBreakBefore w:val="0"/>
        <w:widowControl w:val="0"/>
        <w:numPr>
          <w:ilvl w:val="255"/>
          <w:numId w:val="0"/>
        </w:numPr>
        <w:kinsoku/>
        <w:wordWrap/>
        <w:overflowPunct/>
        <w:topLinePunct w:val="0"/>
        <w:autoSpaceDE/>
        <w:autoSpaceDN/>
        <w:bidi w:val="0"/>
        <w:adjustRightInd/>
        <w:snapToGrid/>
        <w:spacing w:before="120" w:beforeLines="50" w:after="120" w:afterLines="50" w:line="360" w:lineRule="auto"/>
        <w:ind w:firstLine="643" w:firstLineChars="200"/>
        <w:textAlignment w:val="auto"/>
        <w:outlineLvl w:val="0"/>
        <w:rPr>
          <w:rFonts w:hint="eastAsia" w:ascii="黑体" w:hAnsi="黑体" w:eastAsia="黑体"/>
          <w:b/>
          <w:sz w:val="32"/>
          <w:szCs w:val="32"/>
        </w:rPr>
      </w:pPr>
      <w:bookmarkStart w:id="122" w:name="_Toc27695"/>
      <w:bookmarkStart w:id="123" w:name="_Toc20160"/>
    </w:p>
    <w:p w14:paraId="7192D4B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lang w:eastAsia="zh-CN"/>
        </w:rPr>
      </w:pPr>
      <w:r>
        <w:rPr>
          <w:rFonts w:hint="eastAsia"/>
          <w:lang w:eastAsia="zh-CN"/>
        </w:rPr>
        <w:t>（此页无正文）</w:t>
      </w:r>
    </w:p>
    <w:p w14:paraId="29995E26">
      <w:pPr>
        <w:keepNext w:val="0"/>
        <w:keepLines w:val="0"/>
        <w:pageBreakBefore w:val="0"/>
        <w:widowControl w:val="0"/>
        <w:numPr>
          <w:ilvl w:val="255"/>
          <w:numId w:val="0"/>
        </w:numPr>
        <w:kinsoku/>
        <w:wordWrap/>
        <w:overflowPunct/>
        <w:topLinePunct w:val="0"/>
        <w:autoSpaceDE/>
        <w:autoSpaceDN/>
        <w:bidi w:val="0"/>
        <w:adjustRightInd/>
        <w:snapToGrid/>
        <w:spacing w:before="120" w:beforeLines="50" w:after="120" w:afterLines="50" w:line="360" w:lineRule="auto"/>
        <w:ind w:firstLine="643" w:firstLineChars="200"/>
        <w:textAlignment w:val="auto"/>
        <w:outlineLvl w:val="0"/>
        <w:rPr>
          <w:rFonts w:hint="eastAsia" w:ascii="黑体" w:hAnsi="黑体" w:eastAsia="黑体"/>
          <w:b/>
          <w:sz w:val="32"/>
          <w:szCs w:val="32"/>
        </w:rPr>
      </w:pPr>
      <w:r>
        <w:rPr>
          <w:rFonts w:hint="eastAsia" w:ascii="黑体" w:hAnsi="黑体" w:eastAsia="黑体"/>
          <w:b/>
          <w:sz w:val="32"/>
          <w:szCs w:val="32"/>
        </w:rPr>
        <w:t>附件：</w:t>
      </w:r>
      <w:bookmarkEnd w:id="121"/>
      <w:bookmarkEnd w:id="122"/>
      <w:bookmarkEnd w:id="123"/>
    </w:p>
    <w:p w14:paraId="2D6160D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00" w:firstLineChars="200"/>
        <w:textAlignment w:val="auto"/>
        <w:rPr>
          <w:rFonts w:hint="eastAsia" w:ascii="仿宋" w:hAnsi="仿宋" w:eastAsia="仿宋" w:cs="仿宋"/>
          <w:lang w:eastAsia="zh-CN"/>
        </w:rPr>
      </w:pPr>
      <w:bookmarkStart w:id="124" w:name="_Toc26259"/>
      <w:bookmarkStart w:id="125" w:name="_Toc27983"/>
      <w:bookmarkStart w:id="126" w:name="_Toc8251"/>
      <w:bookmarkStart w:id="127" w:name="_Toc22134"/>
      <w:bookmarkStart w:id="128" w:name="_Toc22998"/>
      <w:r>
        <w:rPr>
          <w:rFonts w:hint="eastAsia" w:ascii="仿宋" w:hAnsi="仿宋" w:eastAsia="仿宋" w:cs="仿宋"/>
        </w:rPr>
        <w:t>1.巫溪县房屋管理服务中心2019年度部门整体支出绩效评价指标体系</w:t>
      </w:r>
      <w:bookmarkEnd w:id="124"/>
      <w:r>
        <w:rPr>
          <w:rFonts w:hint="eastAsia" w:ascii="仿宋" w:hAnsi="仿宋" w:eastAsia="仿宋" w:cs="仿宋"/>
        </w:rPr>
        <w:t>及评分表</w:t>
      </w:r>
      <w:bookmarkEnd w:id="125"/>
      <w:bookmarkEnd w:id="126"/>
      <w:bookmarkEnd w:id="127"/>
      <w:bookmarkEnd w:id="128"/>
      <w:r>
        <w:rPr>
          <w:rFonts w:hint="eastAsia" w:ascii="仿宋" w:hAnsi="仿宋" w:eastAsia="仿宋" w:cs="仿宋"/>
          <w:lang w:eastAsia="zh-CN"/>
        </w:rPr>
        <w:t>；</w:t>
      </w:r>
    </w:p>
    <w:p w14:paraId="58A628D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00" w:firstLineChars="200"/>
        <w:textAlignment w:val="auto"/>
        <w:rPr>
          <w:rFonts w:hint="eastAsia" w:ascii="仿宋" w:hAnsi="仿宋" w:eastAsia="仿宋" w:cs="仿宋"/>
          <w:lang w:eastAsia="zh-CN"/>
        </w:rPr>
      </w:pPr>
      <w:bookmarkStart w:id="129" w:name="_Toc32713"/>
      <w:bookmarkStart w:id="130" w:name="_Toc14895"/>
      <w:bookmarkStart w:id="131" w:name="_Toc7464"/>
      <w:bookmarkStart w:id="132" w:name="_Toc13857"/>
      <w:bookmarkStart w:id="133" w:name="_Toc31346"/>
      <w:r>
        <w:rPr>
          <w:rFonts w:hint="eastAsia" w:ascii="仿宋" w:hAnsi="仿宋" w:eastAsia="仿宋" w:cs="仿宋"/>
        </w:rPr>
        <w:t>2.重庆通冠会计师事务所有限责任公司营业执照</w:t>
      </w:r>
      <w:bookmarkEnd w:id="129"/>
      <w:bookmarkEnd w:id="130"/>
      <w:bookmarkEnd w:id="131"/>
      <w:bookmarkEnd w:id="132"/>
      <w:bookmarkEnd w:id="133"/>
      <w:r>
        <w:rPr>
          <w:rFonts w:hint="eastAsia" w:ascii="仿宋" w:hAnsi="仿宋" w:eastAsia="仿宋" w:cs="仿宋"/>
          <w:lang w:eastAsia="zh-CN"/>
        </w:rPr>
        <w:t>；</w:t>
      </w:r>
    </w:p>
    <w:p w14:paraId="61B034B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00" w:firstLineChars="200"/>
        <w:textAlignment w:val="auto"/>
        <w:rPr>
          <w:rFonts w:hint="eastAsia" w:ascii="仿宋" w:hAnsi="仿宋" w:eastAsia="仿宋" w:cs="仿宋"/>
          <w:lang w:eastAsia="zh-CN"/>
        </w:rPr>
      </w:pPr>
      <w:bookmarkStart w:id="134" w:name="_Toc6463"/>
      <w:bookmarkStart w:id="135" w:name="_Toc7341"/>
      <w:bookmarkStart w:id="136" w:name="_Toc27303"/>
      <w:bookmarkStart w:id="137" w:name="_Toc7600"/>
      <w:bookmarkStart w:id="138" w:name="_Toc26135"/>
      <w:r>
        <w:rPr>
          <w:rFonts w:hint="eastAsia" w:ascii="仿宋" w:hAnsi="仿宋" w:eastAsia="仿宋" w:cs="仿宋"/>
        </w:rPr>
        <w:t>3.重庆通冠会计师事务所有限责任公司执业证书</w:t>
      </w:r>
      <w:bookmarkEnd w:id="134"/>
      <w:bookmarkEnd w:id="135"/>
      <w:bookmarkEnd w:id="136"/>
      <w:bookmarkEnd w:id="137"/>
      <w:bookmarkEnd w:id="138"/>
      <w:r>
        <w:rPr>
          <w:rFonts w:hint="eastAsia" w:ascii="仿宋" w:hAnsi="仿宋" w:eastAsia="仿宋" w:cs="仿宋"/>
          <w:lang w:eastAsia="zh-CN"/>
        </w:rPr>
        <w:t>。</w:t>
      </w:r>
    </w:p>
    <w:p w14:paraId="64C22B84">
      <w:pPr>
        <w:pStyle w:val="2"/>
      </w:pPr>
    </w:p>
    <w:tbl>
      <w:tblPr>
        <w:tblStyle w:val="10"/>
        <w:tblW w:w="9362" w:type="dxa"/>
        <w:jc w:val="center"/>
        <w:tblLayout w:type="fixed"/>
        <w:tblCellMar>
          <w:top w:w="0" w:type="dxa"/>
          <w:left w:w="108" w:type="dxa"/>
          <w:bottom w:w="0" w:type="dxa"/>
          <w:right w:w="108" w:type="dxa"/>
        </w:tblCellMar>
      </w:tblPr>
      <w:tblGrid>
        <w:gridCol w:w="5175"/>
        <w:gridCol w:w="4187"/>
      </w:tblGrid>
      <w:tr w14:paraId="07D75218">
        <w:tblPrEx>
          <w:tblCellMar>
            <w:top w:w="0" w:type="dxa"/>
            <w:left w:w="108" w:type="dxa"/>
            <w:bottom w:w="0" w:type="dxa"/>
            <w:right w:w="108" w:type="dxa"/>
          </w:tblCellMar>
        </w:tblPrEx>
        <w:trPr>
          <w:trHeight w:val="685" w:hRule="atLeast"/>
          <w:jc w:val="center"/>
        </w:trPr>
        <w:tc>
          <w:tcPr>
            <w:tcW w:w="5175" w:type="dxa"/>
            <w:vAlign w:val="center"/>
          </w:tcPr>
          <w:p w14:paraId="7BDA3A27">
            <w:pPr>
              <w:spacing w:before="120" w:beforeLines="50" w:after="120" w:afterLines="50" w:line="360" w:lineRule="auto"/>
              <w:ind w:firstLine="0" w:firstLineChars="0"/>
              <w:jc w:val="both"/>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重庆通冠会计师事务所有限责任公司</w:t>
            </w:r>
          </w:p>
        </w:tc>
        <w:tc>
          <w:tcPr>
            <w:tcW w:w="4187" w:type="dxa"/>
            <w:vAlign w:val="center"/>
          </w:tcPr>
          <w:p w14:paraId="3C98C36D">
            <w:pPr>
              <w:spacing w:before="120" w:beforeLines="50" w:after="120" w:afterLines="50" w:line="360" w:lineRule="auto"/>
              <w:ind w:firstLine="300" w:firstLineChars="100"/>
              <w:jc w:val="both"/>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中国注册造价工程师：</w:t>
            </w:r>
          </w:p>
        </w:tc>
      </w:tr>
      <w:tr w14:paraId="3240DDCD">
        <w:tblPrEx>
          <w:tblCellMar>
            <w:top w:w="0" w:type="dxa"/>
            <w:left w:w="108" w:type="dxa"/>
            <w:bottom w:w="0" w:type="dxa"/>
            <w:right w:w="108" w:type="dxa"/>
          </w:tblCellMar>
        </w:tblPrEx>
        <w:trPr>
          <w:trHeight w:val="750" w:hRule="atLeast"/>
          <w:jc w:val="center"/>
        </w:trPr>
        <w:tc>
          <w:tcPr>
            <w:tcW w:w="5175" w:type="dxa"/>
            <w:vAlign w:val="center"/>
          </w:tcPr>
          <w:p w14:paraId="52C02254">
            <w:pPr>
              <w:spacing w:before="120" w:beforeLines="50" w:after="120" w:afterLines="50" w:line="360" w:lineRule="auto"/>
              <w:ind w:firstLine="600" w:firstLineChars="200"/>
              <w:jc w:val="center"/>
              <w:rPr>
                <w:rFonts w:ascii="仿宋" w:hAnsi="仿宋" w:eastAsia="仿宋" w:cs="仿宋"/>
                <w:kern w:val="0"/>
                <w:szCs w:val="30"/>
                <w:shd w:val="clear" w:color="auto" w:fill="FFFFFF"/>
              </w:rPr>
            </w:pPr>
          </w:p>
        </w:tc>
        <w:tc>
          <w:tcPr>
            <w:tcW w:w="4187" w:type="dxa"/>
            <w:vAlign w:val="center"/>
          </w:tcPr>
          <w:p w14:paraId="2F502E90">
            <w:pPr>
              <w:spacing w:before="120" w:beforeLines="50" w:after="120" w:afterLines="50" w:line="360" w:lineRule="auto"/>
              <w:ind w:firstLine="900" w:firstLineChars="300"/>
              <w:jc w:val="both"/>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中国注册会计师：</w:t>
            </w:r>
          </w:p>
        </w:tc>
      </w:tr>
      <w:tr w14:paraId="2B0CEF6C">
        <w:tblPrEx>
          <w:tblCellMar>
            <w:top w:w="0" w:type="dxa"/>
            <w:left w:w="108" w:type="dxa"/>
            <w:bottom w:w="0" w:type="dxa"/>
            <w:right w:w="108" w:type="dxa"/>
          </w:tblCellMar>
        </w:tblPrEx>
        <w:trPr>
          <w:trHeight w:val="602" w:hRule="atLeast"/>
          <w:jc w:val="center"/>
        </w:trPr>
        <w:tc>
          <w:tcPr>
            <w:tcW w:w="5175" w:type="dxa"/>
            <w:vAlign w:val="center"/>
          </w:tcPr>
          <w:p w14:paraId="6A057DEA">
            <w:pPr>
              <w:spacing w:before="120" w:beforeLines="50" w:after="120" w:afterLines="50" w:line="360" w:lineRule="auto"/>
              <w:ind w:firstLine="600" w:firstLineChars="200"/>
              <w:jc w:val="center"/>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中国·重庆市</w:t>
            </w:r>
          </w:p>
        </w:tc>
        <w:tc>
          <w:tcPr>
            <w:tcW w:w="4187" w:type="dxa"/>
            <w:vAlign w:val="center"/>
          </w:tcPr>
          <w:p w14:paraId="6E4475EB">
            <w:pPr>
              <w:spacing w:before="120" w:beforeLines="50" w:after="120" w:afterLines="50" w:line="360" w:lineRule="auto"/>
              <w:ind w:firstLine="600" w:firstLineChars="200"/>
              <w:jc w:val="center"/>
              <w:rPr>
                <w:rFonts w:hint="eastAsia" w:ascii="仿宋" w:hAnsi="仿宋" w:eastAsia="仿宋" w:cs="仿宋"/>
                <w:kern w:val="0"/>
                <w:szCs w:val="30"/>
                <w:shd w:val="clear" w:color="auto" w:fill="FFFFFF"/>
                <w:lang w:eastAsia="zh-CN"/>
              </w:rPr>
            </w:pPr>
            <w:r>
              <w:rPr>
                <w:rFonts w:hint="eastAsia" w:ascii="仿宋" w:hAnsi="仿宋" w:eastAsia="仿宋" w:cs="仿宋"/>
                <w:kern w:val="0"/>
                <w:szCs w:val="30"/>
                <w:shd w:val="clear" w:color="auto" w:fill="FFFFFF"/>
              </w:rPr>
              <w:t>二Ｏ二Ｏ年</w:t>
            </w:r>
            <w:r>
              <w:rPr>
                <w:rFonts w:hint="eastAsia" w:ascii="仿宋" w:hAnsi="仿宋" w:eastAsia="仿宋" w:cs="仿宋"/>
                <w:kern w:val="0"/>
                <w:szCs w:val="30"/>
                <w:shd w:val="clear" w:color="auto" w:fill="FFFFFF"/>
                <w:lang w:eastAsia="zh-CN"/>
              </w:rPr>
              <w:t>十二</w:t>
            </w:r>
            <w:r>
              <w:rPr>
                <w:rFonts w:hint="eastAsia" w:ascii="仿宋" w:hAnsi="仿宋" w:eastAsia="仿宋" w:cs="仿宋"/>
                <w:kern w:val="0"/>
                <w:szCs w:val="30"/>
                <w:shd w:val="clear" w:color="auto" w:fill="FFFFFF"/>
              </w:rPr>
              <w:t>月</w:t>
            </w:r>
            <w:r>
              <w:rPr>
                <w:rFonts w:hint="eastAsia" w:ascii="仿宋" w:hAnsi="仿宋" w:eastAsia="仿宋" w:cs="仿宋"/>
                <w:kern w:val="0"/>
                <w:szCs w:val="30"/>
                <w:shd w:val="clear" w:color="auto" w:fill="FFFFFF"/>
                <w:lang w:eastAsia="zh-CN"/>
              </w:rPr>
              <w:t>三十日</w:t>
            </w:r>
          </w:p>
        </w:tc>
      </w:tr>
    </w:tbl>
    <w:p w14:paraId="1E0502C0">
      <w:pPr>
        <w:pStyle w:val="3"/>
        <w:spacing w:before="0" w:after="0" w:line="240" w:lineRule="auto"/>
      </w:pPr>
    </w:p>
    <w:p w14:paraId="74A03CB0"/>
    <w:sectPr>
      <w:headerReference r:id="rId6" w:type="default"/>
      <w:footerReference r:id="rId7" w:type="default"/>
      <w:footnotePr>
        <w:numFmt w:val="decimalEnclosedCircleChinese"/>
      </w:footnotePr>
      <w:pgSz w:w="11906" w:h="16838"/>
      <w:pgMar w:top="1418" w:right="1418" w:bottom="1418" w:left="1418" w:header="1021" w:footer="1021" w:gutter="284"/>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A73F">
    <w:pPr>
      <w:pStyle w:val="5"/>
      <w:tabs>
        <w:tab w:val="right" w:pos="8647"/>
        <w:tab w:val="clear" w:pos="8306"/>
      </w:tabs>
      <w:ind w:firstLine="21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7ADFC">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B1B649">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19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1B1B649">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19 页</w:t>
                    </w:r>
                  </w:p>
                </w:txbxContent>
              </v:textbox>
            </v:shape>
          </w:pict>
        </mc:Fallback>
      </mc:AlternateContent>
    </w:r>
  </w:p>
  <w:p w14:paraId="511C6BE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63620">
    <w:pPr>
      <w:pStyle w:val="5"/>
      <w:tabs>
        <w:tab w:val="right" w:pos="8647"/>
        <w:tab w:val="clear" w:pos="8306"/>
      </w:tabs>
      <w:ind w:firstLine="210" w:firstLineChars="10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7525EE">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rPr>
                              <w:rFonts w:hint="eastAsia"/>
                              <w:lang w:val="en-US" w:eastAsia="zh-CN"/>
                            </w:rPr>
                            <w:t>19</w:t>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6C7525EE">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rPr>
                        <w:rFonts w:hint="eastAsia"/>
                        <w:lang w:val="en-US" w:eastAsia="zh-CN"/>
                      </w:rPr>
                      <w:t>19</w:t>
                    </w:r>
                    <w:r>
                      <w:rPr>
                        <w:rFonts w:hint="eastAsia"/>
                      </w:rP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-62865</wp:posOffset>
              </wp:positionV>
              <wp:extent cx="5619750" cy="0"/>
              <wp:effectExtent l="0" t="28575" r="0" b="28575"/>
              <wp:wrapNone/>
              <wp:docPr id="4" name="直接连接符 4"/>
              <wp:cNvGraphicFramePr/>
              <a:graphic xmlns:a="http://schemas.openxmlformats.org/drawingml/2006/main">
                <a:graphicData uri="http://schemas.microsoft.com/office/word/2010/wordprocessingShape">
                  <wps:wsp>
                    <wps:cNvCnPr/>
                    <wps:spPr>
                      <a:xfrm>
                        <a:off x="0" y="0"/>
                        <a:ext cx="5619750" cy="0"/>
                      </a:xfrm>
                      <a:prstGeom prst="line">
                        <a:avLst/>
                      </a:prstGeom>
                      <a:ln w="57150" cap="flat" cmpd="thickThin">
                        <a:solidFill>
                          <a:schemeClr val="bg2">
                            <a:lumMod val="75000"/>
                          </a:schemeClr>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95pt;height:0pt;width:442.5pt;z-index:251660288;mso-width-relative:page;mso-height-relative:page;" filled="f" stroked="t" coordsize="21600,21600" o:gfxdata="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0whB9gAAAAIAQAADwAAAAAAAAABACAAAAAi&#10;AAAAZHJzL2Rvd25yZXYueG1sUEsBAhQAFAAAAAgAh07iQGnHHVUKAgAADQQAAA4AAAAAAAAAAQAg&#10;AAAAJwEAAGRycy9lMm9Eb2MueG1sUEsFBgAAAAAGAAYAWQEAAKMFAAAAAA==&#10;">
              <v:fill on="f" focussize="0,0"/>
              <v:stroke weight="4.5pt" color="#AFABAB [2414]" linestyle="thickThin"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072DB"/>
  <w:p w14:paraId="07AE2A7C">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45778">
    <w:pPr>
      <w:pStyle w:val="6"/>
    </w:pPr>
  </w:p>
  <w:p w14:paraId="0D569000">
    <w:pPr>
      <w:pStyle w:val="6"/>
    </w:pPr>
    <w:r>
      <w:rPr>
        <w:rFonts w:hint="eastAsia"/>
      </w:rPr>
      <w:t xml:space="preserve">                                          巫溪县房屋管理服务中心2019年度部门整体支出绩效评价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08F762"/>
    <w:multiLevelType w:val="singleLevel"/>
    <w:tmpl w:val="E208F762"/>
    <w:lvl w:ilvl="0" w:tentative="0">
      <w:start w:val="1"/>
      <w:numFmt w:val="chineseCounting"/>
      <w:suff w:val="nothing"/>
      <w:lvlText w:val="（%1）"/>
      <w:lvlJc w:val="left"/>
      <w:rPr>
        <w:rFonts w:hint="eastAsia"/>
      </w:rPr>
    </w:lvl>
  </w:abstractNum>
  <w:abstractNum w:abstractNumId="1">
    <w:nsid w:val="56E57421"/>
    <w:multiLevelType w:val="singleLevel"/>
    <w:tmpl w:val="56E57421"/>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74673"/>
    <w:rsid w:val="071122CD"/>
    <w:rsid w:val="0C983E53"/>
    <w:rsid w:val="0E8A16D5"/>
    <w:rsid w:val="1C4E28C2"/>
    <w:rsid w:val="1E3D1552"/>
    <w:rsid w:val="21812924"/>
    <w:rsid w:val="38AC7DF1"/>
    <w:rsid w:val="3F8C573E"/>
    <w:rsid w:val="4B5B0272"/>
    <w:rsid w:val="4DE74673"/>
    <w:rsid w:val="5DC955AB"/>
    <w:rsid w:val="5E8350D3"/>
    <w:rsid w:val="5FB177EA"/>
    <w:rsid w:val="64B75443"/>
    <w:rsid w:val="668E417C"/>
    <w:rsid w:val="739150E8"/>
    <w:rsid w:val="74E26738"/>
    <w:rsid w:val="762D577F"/>
    <w:rsid w:val="79E60632"/>
    <w:rsid w:val="7CAE4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qFormat="1"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jc w:val="left"/>
      <w:outlineLvl w:val="0"/>
    </w:pPr>
    <w:rPr>
      <w:b/>
      <w:bCs/>
      <w:kern w:val="44"/>
      <w:sz w:val="32"/>
      <w:szCs w:val="44"/>
    </w:rPr>
  </w:style>
  <w:style w:type="paragraph" w:styleId="3">
    <w:name w:val="heading 4"/>
    <w:basedOn w:val="1"/>
    <w:next w:val="1"/>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after="120"/>
    </w:pPr>
    <w:rPr>
      <w:rFonts w:eastAsia="方正仿宋_GBK"/>
      <w:sz w:val="33"/>
      <w:szCs w:val="33"/>
    </w:rPr>
  </w:style>
  <w:style w:type="paragraph" w:styleId="5">
    <w:name w:val="footer"/>
    <w:basedOn w:val="1"/>
    <w:qFormat/>
    <w:uiPriority w:val="0"/>
    <w:pPr>
      <w:tabs>
        <w:tab w:val="center" w:pos="4153"/>
        <w:tab w:val="right" w:pos="8306"/>
      </w:tabs>
      <w:snapToGrid w:val="0"/>
      <w:jc w:val="left"/>
    </w:pPr>
    <w:rPr>
      <w:sz w:val="21"/>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850"/>
      </w:tabs>
      <w:spacing w:line="600" w:lineRule="exact"/>
    </w:pPr>
    <w:rPr>
      <w:rFonts w:ascii="仿宋_GB2312" w:hAnsi="仿宋"/>
      <w:color w:val="000000"/>
    </w:rPr>
  </w:style>
  <w:style w:type="paragraph" w:styleId="8">
    <w:name w:val="toc 4"/>
    <w:basedOn w:val="1"/>
    <w:next w:val="1"/>
    <w:semiHidden/>
    <w:unhideWhenUsed/>
    <w:qFormat/>
    <w:uiPriority w:val="0"/>
    <w:pPr>
      <w:ind w:left="1260" w:leftChars="600"/>
    </w:pPr>
  </w:style>
  <w:style w:type="paragraph" w:styleId="9">
    <w:name w:val="toc 2"/>
    <w:basedOn w:val="1"/>
    <w:next w:val="1"/>
    <w:semiHidden/>
    <w:qFormat/>
    <w:uiPriority w:val="0"/>
    <w:pPr>
      <w:tabs>
        <w:tab w:val="right" w:leader="dot" w:pos="8850"/>
      </w:tabs>
      <w:spacing w:line="360" w:lineRule="auto"/>
      <w:jc w:val="center"/>
    </w:pPr>
  </w:style>
  <w:style w:type="character" w:styleId="12">
    <w:name w:val="page number"/>
    <w:basedOn w:val="11"/>
    <w:qFormat/>
    <w:uiPriority w:val="0"/>
  </w:style>
  <w:style w:type="paragraph" w:customStyle="1" w:styleId="13">
    <w:name w:val="样式 样式 标题 2 + 段前: 5 磅 段后: 5 磅 + 段前: 0.5 行 段后: 0.5 行"/>
    <w:basedOn w:val="14"/>
    <w:qFormat/>
    <w:uiPriority w:val="0"/>
  </w:style>
  <w:style w:type="paragraph" w:customStyle="1" w:styleId="14">
    <w:name w:val="样式 标题 1 + 段前: 5 磅 段后: 5 磅"/>
    <w:basedOn w:val="2"/>
    <w:qFormat/>
    <w:uiPriority w:val="0"/>
    <w:pPr>
      <w:spacing w:beforeLines="50" w:afterLines="50" w:line="596" w:lineRule="exact"/>
    </w:pPr>
    <w:rPr>
      <w:rFonts w:cs="宋体"/>
      <w:szCs w:val="20"/>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7315</Words>
  <Characters>8084</Characters>
  <Lines>0</Lines>
  <Paragraphs>0</Paragraphs>
  <TotalTime>24</TotalTime>
  <ScaleCrop>false</ScaleCrop>
  <LinksUpToDate>false</LinksUpToDate>
  <CharactersWithSpaces>8187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2020-11-06T09:00:00Z</dcterms:created>
  <dc:creator>cqtg-033</dc:creator>
  <cp:lastModifiedBy>温星星</cp:lastModifiedBy>
  <cp:lastPrinted>2021-01-28T03:34:00Z</cp:lastPrinted>
  <dcterms:modified xsi:type="dcterms:W3CDTF">2025-01-14T01:26:45Z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0_btnclosed</vt:lpwstr>
  </property>
  <property fmtid="{D5CDD505-2E9C-101B-9397-08002B2CF9AE}" pid="4" name="KSOTemplateDocerSaveRecord">
    <vt:lpwstr>eyJoZGlkIjoiZDRlMTI0ZmZkNWVkNDk2ZTg4NWYwOTQyMjQxMmY4NGEiLCJ1c2VySWQiOiIxMzIzODcwMDMzIn0=</vt:lpwstr>
  </property>
  <property fmtid="{D5CDD505-2E9C-101B-9397-08002B2CF9AE}" pid="5" name="ICV">
    <vt:lpwstr>4BD33DE147B24BDD8FD95A8EC57CA157_12</vt:lpwstr>
  </property>
</Properties>
</file>