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line="600" w:lineRule="exact"/>
        <w:ind w:firstLine="0" w:firstLineChars="0"/>
        <w:jc w:val="center"/>
        <w:textAlignment w:val="auto"/>
        <w:rPr>
          <w:rFonts w:hint="default" w:ascii="Times New Roman" w:hAnsi="Times New Roman" w:eastAsia="方正小标宋_GBK" w:cs="Times New Roman"/>
          <w:color w:val="auto"/>
          <w:sz w:val="36"/>
          <w:szCs w:val="36"/>
          <w:shd w:val="clear" w:color="auto" w:fill="FFFFFF"/>
        </w:rPr>
      </w:pPr>
      <w:r>
        <w:rPr>
          <w:rFonts w:hint="default" w:ascii="Times New Roman" w:hAnsi="Times New Roman" w:eastAsia="方正小标宋_GBK" w:cs="Times New Roman"/>
          <w:color w:val="auto"/>
          <w:sz w:val="36"/>
          <w:szCs w:val="36"/>
        </w:rPr>
        <w:t>重庆市巫溪县财政局</w:t>
      </w:r>
      <w:r>
        <w:rPr>
          <w:rFonts w:hint="default" w:ascii="Times New Roman" w:hAnsi="Times New Roman" w:eastAsia="方正小标宋_GBK" w:cs="Times New Roman"/>
          <w:color w:val="auto"/>
          <w:sz w:val="36"/>
          <w:szCs w:val="36"/>
          <w:shd w:val="clear" w:color="auto" w:fill="FFFFFF"/>
        </w:rPr>
        <w:t>2023年度决算公开说明</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color w:val="auto"/>
          <w:kern w:val="2"/>
          <w:sz w:val="32"/>
          <w:szCs w:val="32"/>
          <w:lang w:val="en-US" w:eastAsia="zh-CN"/>
        </w:rPr>
      </w:pPr>
      <w:r>
        <w:rPr>
          <w:rFonts w:hint="eastAsia" w:ascii="方正黑体_GBK" w:hAnsi="方正黑体_GBK" w:eastAsia="方正黑体_GBK" w:cs="方正黑体_GBK"/>
          <w:color w:val="auto"/>
          <w:kern w:val="2"/>
          <w:sz w:val="32"/>
          <w:szCs w:val="32"/>
          <w:lang w:val="en-US" w:eastAsia="zh-CN"/>
        </w:rPr>
        <w:t>一、部门基本情况</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3" w:firstLineChars="200"/>
        <w:jc w:val="both"/>
        <w:textAlignment w:val="auto"/>
        <w:rPr>
          <w:rFonts w:hint="eastAsia" w:ascii="方正楷体_GBK" w:hAnsi="方正楷体_GBK" w:eastAsia="方正楷体_GBK" w:cs="方正楷体_GBK"/>
          <w:b/>
          <w:bCs/>
          <w:color w:val="auto"/>
          <w:kern w:val="2"/>
          <w:sz w:val="32"/>
          <w:szCs w:val="32"/>
          <w:lang w:val="en-US" w:eastAsia="zh-CN"/>
        </w:rPr>
      </w:pPr>
      <w:r>
        <w:rPr>
          <w:rFonts w:hint="eastAsia" w:ascii="方正楷体_GBK" w:hAnsi="方正楷体_GBK" w:eastAsia="方正楷体_GBK" w:cs="方正楷体_GBK"/>
          <w:b/>
          <w:bCs/>
          <w:color w:val="auto"/>
          <w:kern w:val="2"/>
          <w:sz w:val="32"/>
          <w:szCs w:val="32"/>
          <w:lang w:val="en-US" w:eastAsia="zh-CN"/>
        </w:rPr>
        <w:t>（一）职能职责</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1.贯彻执行财税、国有资产管理、金融管理、财务等有关法律、法规、规章、方针政策和管理制度。</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2.拟订和执行财政分配政策和财政管理制度，拟订全县财政发展中长期规划并组织实施，指导全县财政工作。</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3.分析预测宏观经济形势，参与拟订全县宏观经济政策提出运用财税政策实施经济调节的建议。拟订县与乡镇（街道）、政府与企业的分配政策，完善鼓励公益事业发展的财税政策。</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4.负责全县财政收支的管理工作。负责依法编制县级年度预算和决算草案，组织执行县级年度财政预算。受县政府委托，向县人民代表大会及其常委会报告全县预算及其执行情况，以及调整预算、决算及其他重大财政事项。组织制定公务活动经费开支范围、开支标准和综合定额，负责审核批复部门（单位）的年度预决算。负责预决算公开工作。负责财政性资金的综合平衡。</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5.负责政府非税收入管理，负责政府性基金管理，按规定管</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理行政事业性收费。管理财政票据。执行彩票管理政策，按规定管理彩票资金。</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6.贯彻执行国库管理制度、国库集中收付制度，并制定具体</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管理办法，开展国库现金管理工作。</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7.负责国有资产管理，监管企业国有资本和行政事业单位国有资产，履行出资人职责。牵头组织编制国有资产综合报告和专项报告，受县政府委托向县人大常委会报告国有资产管理情况。执行行政事业单位国有资产管理规章制度。负责公共资源的统计分析。</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8.负责审核和汇编县级国有资本经营预决算草案，执行国有资本经营预算制度和办法，并按规定制定具体管理制度，收取县级国有资本收益。贯彻执行企业财务制度。</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9.负责金融监管和商业保理、租赁、典当管理工作。拟订促进地方金融业改革发展的财税扶持政策和评价考核办法，会同金融监管机构规范和维护地方金融秩序，防范和化解金融风险。参与拟订地方金融和融资政策。</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10.负责监督管理县级财政的经济发展支出、县级政府性投资项目的财政拨款，负责财政预算评审工作。参与拟订县级建设投资的有关政策，执行基本建设财务制度，负责有关政策性补贴和专项储备资金财务管理工作。</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11.会同有关部门管理县级财政社会保障和就业及医疗卫生支出，组织执行社会保障资金（基金）的财务管理制度。</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12.制定全县财政预算绩效管理评价管理办法。负责县级财政预算绩效目标管理。指导和监督预算单位开展预算绩效管理工作。研究提出评价结果反馈应用的政策建议。</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13.贯彻执行政府采购制度，制定具体管理办法，监督管理政府采购活动。指导预算单位编制政府采购预算。拟订并组织实施政府采购目录制度。核准政府采购代理机构资格认定，并负责代理机构监管工作。</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14.拟订和执行政府债务管理的制度和政策，负责统一管理政府债务，防范财政风险。归口管理全县政府外债，负责全县利用国际金融组织和外国政府贷款、赠款的全过程监督管理。</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15.负责管理全县会计工作，贯彻执行会计法律法规，监督和规范会计行为，拟订并组织实施具体会计管理制度。负责组织会计系列专业技术职务任职资格的考试工作，开展财税法律、法规、政策执行情况的监督检查。监督和管理乡镇（街道）、部门（单位）的财政财务活动，反映财政收支管理中的重大问题，查处违反财经法纪行为。</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16.规划，组织财政干部培训。牵头组织实施行政事业单位内部控制制度。负责财政系统对外交流与合作相关工作。</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17.完成县委、县政府交办的其他任务。</w:t>
      </w:r>
    </w:p>
    <w:p>
      <w:pPr>
        <w:bidi w:val="0"/>
        <w:ind w:firstLine="643"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（二）机构设置</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color w:val="auto"/>
          <w:kern w:val="2"/>
          <w:sz w:val="32"/>
          <w:szCs w:val="32"/>
          <w:lang w:val="en-US" w:eastAsia="zh-CN"/>
        </w:rPr>
        <w:t>巫溪县财政局共设立10个科室(含投资决算管理中心和国库收付中心)。分别是：办公室、预算科、社保科、行财科、资产企业科、财法监督科、债务管理科、农业农村科、财政投资决算管理中心和国库科（国库收付中心）。</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3" w:firstLineChars="200"/>
        <w:jc w:val="both"/>
        <w:textAlignment w:val="auto"/>
        <w:rPr>
          <w:rFonts w:hint="eastAsia" w:ascii="方正黑体_GBK" w:hAnsi="方正黑体_GBK" w:eastAsia="方正黑体_GBK" w:cs="方正黑体_GBK"/>
          <w:b/>
          <w:bCs/>
          <w:color w:val="auto"/>
          <w:kern w:val="2"/>
          <w:sz w:val="32"/>
          <w:szCs w:val="32"/>
          <w:lang w:val="en-US" w:eastAsia="zh-CN"/>
        </w:rPr>
      </w:pPr>
      <w:r>
        <w:rPr>
          <w:rFonts w:hint="eastAsia" w:ascii="方正黑体_GBK" w:hAnsi="方正黑体_GBK" w:eastAsia="方正黑体_GBK" w:cs="方正黑体_GBK"/>
          <w:b/>
          <w:bCs/>
          <w:color w:val="auto"/>
          <w:kern w:val="2"/>
          <w:sz w:val="32"/>
          <w:szCs w:val="32"/>
          <w:lang w:val="en-US" w:eastAsia="zh-CN"/>
        </w:rPr>
        <w:t>二、部门决算情况说明</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3" w:firstLineChars="200"/>
        <w:jc w:val="both"/>
        <w:textAlignment w:val="auto"/>
        <w:rPr>
          <w:rFonts w:hint="default" w:ascii="Times New Roman" w:hAnsi="Times New Roman" w:eastAsia="方正楷体_GBK" w:cs="Times New Roman"/>
          <w:b/>
          <w:bCs/>
          <w:color w:val="auto"/>
          <w:kern w:val="2"/>
          <w:sz w:val="32"/>
          <w:szCs w:val="32"/>
          <w:lang w:val="en-US" w:eastAsia="zh-CN"/>
        </w:rPr>
      </w:pPr>
      <w:r>
        <w:rPr>
          <w:rFonts w:hint="default" w:ascii="Times New Roman" w:hAnsi="Times New Roman" w:eastAsia="方正楷体_GBK" w:cs="Times New Roman"/>
          <w:b/>
          <w:bCs/>
          <w:color w:val="auto"/>
          <w:kern w:val="2"/>
          <w:sz w:val="32"/>
          <w:szCs w:val="32"/>
          <w:lang w:val="en-US" w:eastAsia="zh-CN"/>
        </w:rPr>
        <w:t>（一）收入支出决算总体情况说明</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3"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b/>
          <w:bCs/>
          <w:color w:val="auto"/>
          <w:kern w:val="2"/>
          <w:sz w:val="32"/>
          <w:szCs w:val="32"/>
          <w:lang w:val="en-US" w:eastAsia="zh-CN"/>
        </w:rPr>
        <w:t>1.总体情况。</w:t>
      </w:r>
      <w:r>
        <w:rPr>
          <w:rFonts w:hint="default" w:ascii="Times New Roman" w:hAnsi="Times New Roman" w:eastAsia="方正仿宋_GBK" w:cs="Times New Roman"/>
          <w:color w:val="auto"/>
          <w:kern w:val="2"/>
          <w:sz w:val="32"/>
          <w:szCs w:val="32"/>
          <w:lang w:val="en-US" w:eastAsia="zh-CN"/>
        </w:rPr>
        <w:t>2023年度收入总计2054.67万元，支出总计2054.67万元。收支较上年决算数增加156.75万元，增长8.26%，主要</w:t>
      </w:r>
      <w:r>
        <w:rPr>
          <w:rFonts w:hint="eastAsia" w:ascii="Times New Roman" w:hAnsi="Times New Roman" w:eastAsia="方正仿宋_GBK" w:cs="Times New Roman"/>
          <w:color w:val="auto"/>
          <w:kern w:val="2"/>
          <w:sz w:val="32"/>
          <w:szCs w:val="32"/>
          <w:lang w:val="en-US" w:eastAsia="zh-CN"/>
        </w:rPr>
        <w:t>原因</w:t>
      </w:r>
      <w:r>
        <w:rPr>
          <w:rFonts w:hint="default" w:ascii="Times New Roman" w:hAnsi="Times New Roman" w:eastAsia="方正仿宋_GBK" w:cs="Times New Roman"/>
          <w:color w:val="auto"/>
          <w:kern w:val="2"/>
          <w:sz w:val="32"/>
          <w:szCs w:val="32"/>
          <w:lang w:val="en-US" w:eastAsia="zh-CN"/>
        </w:rPr>
        <w:t>是本年度养老保险及职业年金等基数调整，经费增加；支付2021年津补贴政策衔接清算费用。</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3" w:firstLineChars="200"/>
        <w:jc w:val="both"/>
        <w:textAlignment w:val="auto"/>
        <w:rPr>
          <w:rFonts w:hint="default" w:ascii="Times New Roman" w:hAnsi="Times New Roman" w:eastAsia="方正仿宋_GBK" w:cs="Times New Roman"/>
          <w:color w:val="auto"/>
          <w:kern w:val="2"/>
          <w:sz w:val="32"/>
          <w:szCs w:val="32"/>
          <w:lang w:val="en-US" w:eastAsia="zh-CN"/>
        </w:rPr>
      </w:pPr>
      <w:r>
        <w:rPr>
          <w:rFonts w:hint="default" w:ascii="Times New Roman" w:hAnsi="Times New Roman" w:eastAsia="方正仿宋_GBK" w:cs="Times New Roman"/>
          <w:b/>
          <w:bCs/>
          <w:color w:val="auto"/>
          <w:kern w:val="2"/>
          <w:sz w:val="32"/>
          <w:szCs w:val="32"/>
          <w:lang w:val="en-US" w:eastAsia="zh-CN"/>
        </w:rPr>
        <w:t>2.收入情况。</w:t>
      </w:r>
      <w:r>
        <w:rPr>
          <w:rFonts w:hint="default" w:ascii="Times New Roman" w:hAnsi="Times New Roman" w:eastAsia="方正仿宋_GBK" w:cs="Times New Roman"/>
          <w:color w:val="auto"/>
          <w:kern w:val="2"/>
          <w:sz w:val="32"/>
          <w:szCs w:val="32"/>
          <w:lang w:val="en-US" w:eastAsia="zh-CN"/>
        </w:rPr>
        <w:t>2023年度收入合计2054.67万元，较上年决算数增加156.75万元，增长8.26%，主要是本年度养老保险及职业年金等基数调整，经费增加；支付2021年津补贴政策衔接清算费用。其中：财政拨款收入2054.67万元，占100.00%。此外，使用非财政拨款结余和专用结余0.00万元，年初结转和结余0.00万元。</w:t>
      </w:r>
    </w:p>
    <w:p>
      <w:pPr>
        <w:pStyle w:val="14"/>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600" w:lineRule="exact"/>
        <w:ind w:right="0"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kern w:val="2"/>
          <w:sz w:val="32"/>
          <w:szCs w:val="32"/>
          <w:lang w:val="en-US" w:eastAsia="zh-CN"/>
        </w:rPr>
        <w:t>3.支出情况。</w:t>
      </w:r>
      <w:r>
        <w:rPr>
          <w:rFonts w:hint="default" w:ascii="Times New Roman" w:hAnsi="Times New Roman" w:eastAsia="方正仿宋_GBK" w:cs="Times New Roman"/>
          <w:color w:val="auto"/>
          <w:kern w:val="2"/>
          <w:sz w:val="32"/>
          <w:szCs w:val="32"/>
          <w:lang w:val="en-US" w:eastAsia="zh-CN"/>
        </w:rPr>
        <w:t>2023年度支出合计2054.67万元，较上年决算数增加156.75万元，增长8.26%，主要是本年度养老保险及职业年金等基数调整，经费增加</w:t>
      </w:r>
      <w:r>
        <w:rPr>
          <w:rFonts w:hint="default" w:ascii="Times New Roman" w:hAnsi="Times New Roman" w:eastAsia="方正仿宋_GBK" w:cs="Times New Roman"/>
          <w:color w:val="auto"/>
          <w:sz w:val="32"/>
          <w:szCs w:val="32"/>
          <w:shd w:val="clear" w:color="auto" w:fill="FFFFFF"/>
          <w:lang w:val="en-US" w:eastAsia="zh-CN"/>
        </w:rPr>
        <w:t>；支付2021年津补贴政策衔接清算费用。</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1319.40</w:t>
      </w:r>
      <w:r>
        <w:rPr>
          <w:rFonts w:hint="default" w:ascii="Times New Roman" w:hAnsi="Times New Roman" w:eastAsia="方正仿宋_GBK" w:cs="Times New Roman"/>
          <w:color w:val="auto"/>
          <w:sz w:val="32"/>
          <w:szCs w:val="32"/>
          <w:shd w:val="clear" w:color="auto" w:fill="FFFFFF"/>
        </w:rPr>
        <w:t>万元，占64.21%；项目支出</w:t>
      </w:r>
      <w:r>
        <w:rPr>
          <w:rFonts w:hint="default" w:ascii="Times New Roman" w:hAnsi="Times New Roman" w:eastAsia="方正仿宋_GBK" w:cs="Times New Roman"/>
          <w:color w:val="auto"/>
          <w:sz w:val="32"/>
          <w:szCs w:val="32"/>
        </w:rPr>
        <w:t>735.26</w:t>
      </w:r>
      <w:r>
        <w:rPr>
          <w:rFonts w:hint="default" w:ascii="Times New Roman" w:hAnsi="Times New Roman" w:eastAsia="方正仿宋_GBK" w:cs="Times New Roman"/>
          <w:color w:val="auto"/>
          <w:sz w:val="32"/>
          <w:szCs w:val="32"/>
          <w:shd w:val="clear" w:color="auto" w:fill="FFFFFF"/>
        </w:rPr>
        <w:t>万元，占35.79%</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Style w:val="12"/>
          <w:rFonts w:hint="default" w:ascii="Times New Roman" w:hAnsi="Times New Roman" w:eastAsia="方正仿宋_GBK" w:cs="Times New Roman"/>
          <w:b/>
          <w:bCs w:val="0"/>
          <w:color w:val="auto"/>
          <w:sz w:val="32"/>
          <w:szCs w:val="32"/>
          <w:shd w:val="clear" w:color="auto" w:fill="FFFFFF"/>
        </w:rPr>
        <w:t>4.结转结余</w:t>
      </w:r>
      <w:r>
        <w:rPr>
          <w:rFonts w:hint="default" w:ascii="Times New Roman" w:hAnsi="Times New Roman" w:eastAsia="方正仿宋_GBK" w:cs="Times New Roman"/>
          <w:b/>
          <w:bCs w:val="0"/>
          <w:color w:val="auto"/>
          <w:sz w:val="32"/>
          <w:szCs w:val="32"/>
          <w:shd w:val="clear" w:color="auto" w:fill="FFFFFF"/>
        </w:rPr>
        <w:t>情况。</w:t>
      </w:r>
      <w:r>
        <w:rPr>
          <w:rFonts w:hint="default" w:ascii="Times New Roman" w:hAnsi="Times New Roman" w:eastAsia="方正仿宋_GBK" w:cs="Times New Roman"/>
          <w:color w:val="auto"/>
          <w:sz w:val="32"/>
          <w:szCs w:val="32"/>
          <w:shd w:val="clear" w:color="auto" w:fill="FFFFFF"/>
        </w:rPr>
        <w:t>2023年度年末结转和结余0.00万元，较上年决算数无增减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b/>
          <w:bCs/>
          <w:color w:val="auto"/>
          <w:sz w:val="32"/>
          <w:szCs w:val="32"/>
          <w:shd w:val="clear" w:color="auto" w:fill="FFFFFF"/>
        </w:rPr>
      </w:pPr>
      <w:r>
        <w:rPr>
          <w:rFonts w:hint="default" w:ascii="Times New Roman" w:hAnsi="Times New Roman" w:eastAsia="方正楷体_GBK" w:cs="Times New Roman"/>
          <w:b/>
          <w:bCs/>
          <w:color w:val="auto"/>
          <w:sz w:val="32"/>
          <w:szCs w:val="32"/>
          <w:shd w:val="clear" w:color="auto" w:fill="FFFFFF"/>
        </w:rPr>
        <w:t>（二）财政拨款收入支出决算总体情况说明</w:t>
      </w:r>
    </w:p>
    <w:p>
      <w:pPr>
        <w:pStyle w:val="8"/>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2023年度财政拨款收、支总计2054.67万元。与2022年相比，财政拨款收、支总计各增加156.75万元，增长8.26%。主要原因是</w:t>
      </w:r>
      <w:r>
        <w:rPr>
          <w:rFonts w:hint="default" w:ascii="Times New Roman" w:hAnsi="Times New Roman" w:eastAsia="方正仿宋_GBK" w:cs="Times New Roman"/>
          <w:color w:val="auto"/>
          <w:sz w:val="32"/>
          <w:szCs w:val="32"/>
          <w:shd w:val="clear" w:color="auto" w:fill="FFFFFF"/>
          <w:lang w:val="en-US" w:eastAsia="zh-CN"/>
        </w:rPr>
        <w:t>本年度养老保险及职业年金等基数调整，经费增加；支付2021年津补贴政策衔接清算费用。</w:t>
      </w:r>
    </w:p>
    <w:p>
      <w:pPr>
        <w:pStyle w:val="13"/>
        <w:keepNext w:val="0"/>
        <w:keepLines w:val="0"/>
        <w:pageBreakBefore w:val="0"/>
        <w:widowControl/>
        <w:kinsoku/>
        <w:wordWrap/>
        <w:overflowPunct/>
        <w:topLinePunct w:val="0"/>
        <w:autoSpaceDE w:val="0"/>
        <w:autoSpaceDN/>
        <w:bidi w:val="0"/>
        <w:adjustRightInd w:val="0"/>
        <w:snapToGrid w:val="0"/>
        <w:spacing w:beforeAutospacing="0" w:line="600" w:lineRule="exact"/>
        <w:ind w:firstLine="643" w:firstLineChars="200"/>
        <w:textAlignment w:val="auto"/>
        <w:rPr>
          <w:rFonts w:hint="default" w:ascii="Times New Roman" w:hAnsi="Times New Roman" w:eastAsia="方正楷体_GBK" w:cs="Times New Roman"/>
          <w:b/>
          <w:bCs/>
          <w:color w:val="auto"/>
          <w:sz w:val="32"/>
          <w:szCs w:val="32"/>
          <w:shd w:val="clear" w:color="auto" w:fill="FFFFFF"/>
        </w:rPr>
      </w:pPr>
      <w:r>
        <w:rPr>
          <w:rFonts w:hint="default" w:ascii="Times New Roman" w:hAnsi="Times New Roman" w:eastAsia="方正楷体_GBK" w:cs="Times New Roman"/>
          <w:b/>
          <w:bCs/>
          <w:color w:val="auto"/>
          <w:sz w:val="32"/>
          <w:szCs w:val="32"/>
          <w:shd w:val="clear" w:color="auto" w:fill="FFFFFF"/>
        </w:rPr>
        <w:t>（三）一般公共预算财政拨款收入支出决算情况说明</w:t>
      </w:r>
    </w:p>
    <w:p>
      <w:pPr>
        <w:pStyle w:val="8"/>
        <w:keepNext w:val="0"/>
        <w:keepLines w:val="0"/>
        <w:pageBreakBefore w:val="0"/>
        <w:widowControl/>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2054.67</w:t>
      </w:r>
      <w:r>
        <w:rPr>
          <w:rFonts w:hint="default" w:ascii="Times New Roman" w:hAnsi="Times New Roman" w:eastAsia="方正仿宋_GBK" w:cs="Times New Roman"/>
          <w:color w:val="auto"/>
          <w:sz w:val="32"/>
          <w:szCs w:val="32"/>
          <w:shd w:val="clear" w:color="auto" w:fill="FFFFFF"/>
        </w:rPr>
        <w:t>万元，较上年决算数增加156.75万元，增长8.26%。主要原因是</w:t>
      </w:r>
      <w:r>
        <w:rPr>
          <w:rFonts w:hint="default" w:ascii="Times New Roman" w:hAnsi="Times New Roman" w:eastAsia="方正仿宋_GBK" w:cs="Times New Roman"/>
          <w:color w:val="auto"/>
          <w:sz w:val="32"/>
          <w:szCs w:val="32"/>
          <w:shd w:val="clear" w:color="auto" w:fill="FFFFFF"/>
          <w:lang w:val="en-US" w:eastAsia="zh-CN"/>
        </w:rPr>
        <w:t>本年度养老保险及职业年金等基数调整，经费增加；支付2021年津补贴政策衔接清算费用。</w:t>
      </w:r>
      <w:r>
        <w:rPr>
          <w:rFonts w:hint="default" w:ascii="Times New Roman" w:hAnsi="Times New Roman" w:eastAsia="方正仿宋_GBK" w:cs="Times New Roman"/>
          <w:color w:val="auto"/>
          <w:sz w:val="32"/>
          <w:szCs w:val="32"/>
          <w:shd w:val="clear" w:color="auto" w:fill="FFFFFF"/>
        </w:rPr>
        <w:t>较年初预算数增加292.15万元，增长16.58%。主要原因是</w:t>
      </w:r>
      <w:r>
        <w:rPr>
          <w:rFonts w:hint="default" w:ascii="Times New Roman" w:hAnsi="Times New Roman" w:eastAsia="方正仿宋_GBK" w:cs="Times New Roman"/>
          <w:color w:val="auto"/>
          <w:sz w:val="32"/>
          <w:szCs w:val="32"/>
          <w:shd w:val="clear" w:color="auto" w:fill="FFFFFF"/>
          <w:lang w:val="en-US" w:eastAsia="zh-CN"/>
        </w:rPr>
        <w:t>本年度养老保险及职业年金等基数调整，经费增加；支付2021年津补贴政策衔接清算费用。</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Style w:val="12"/>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2054.67</w:t>
      </w:r>
      <w:r>
        <w:rPr>
          <w:rFonts w:hint="default" w:ascii="Times New Roman" w:hAnsi="Times New Roman" w:eastAsia="方正仿宋_GBK" w:cs="Times New Roman"/>
          <w:color w:val="auto"/>
          <w:sz w:val="32"/>
          <w:szCs w:val="32"/>
          <w:shd w:val="clear" w:color="auto" w:fill="FFFFFF"/>
        </w:rPr>
        <w:t>万元，较上年决算数增加156.75万元，增长8.26%。主要原因是</w:t>
      </w:r>
      <w:r>
        <w:rPr>
          <w:rFonts w:hint="default" w:ascii="Times New Roman" w:hAnsi="Times New Roman" w:eastAsia="方正仿宋_GBK" w:cs="Times New Roman"/>
          <w:color w:val="auto"/>
          <w:sz w:val="32"/>
          <w:szCs w:val="32"/>
          <w:shd w:val="clear" w:color="auto" w:fill="FFFFFF"/>
          <w:lang w:val="en-US" w:eastAsia="zh-CN"/>
        </w:rPr>
        <w:t>本年度养老保险及职业年金等基数调整，经费增加；支付2021年津补贴政策衔接清算费用。</w:t>
      </w:r>
      <w:r>
        <w:rPr>
          <w:rFonts w:hint="default" w:ascii="Times New Roman" w:hAnsi="Times New Roman" w:eastAsia="方正仿宋_GBK" w:cs="Times New Roman"/>
          <w:color w:val="auto"/>
          <w:sz w:val="32"/>
          <w:szCs w:val="32"/>
          <w:shd w:val="clear" w:color="auto" w:fill="FFFFFF"/>
        </w:rPr>
        <w:t>较年初预算数增加292.15万元，增长16.58%。主要原因是</w:t>
      </w:r>
      <w:r>
        <w:rPr>
          <w:rFonts w:hint="default" w:ascii="Times New Roman" w:hAnsi="Times New Roman" w:eastAsia="方正仿宋_GBK" w:cs="Times New Roman"/>
          <w:color w:val="auto"/>
          <w:sz w:val="32"/>
          <w:szCs w:val="32"/>
          <w:shd w:val="clear" w:color="auto" w:fill="FFFFFF"/>
          <w:lang w:val="en-US" w:eastAsia="zh-CN"/>
        </w:rPr>
        <w:t>本年度养老保险及职业年金等基数调整，经费增加；支付2021年津补贴政策衔接清算费用。</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b/>
          <w:bCs/>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2023年度年末一般公共预算财政拨款结转和结余0.00万元，较上年决算数无增减</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Fonts w:hint="default" w:ascii="Times New Roman" w:hAnsi="Times New Roman" w:eastAsia="方正仿宋_GBK" w:cs="Times New Roman"/>
          <w:b/>
          <w:bCs/>
          <w:color w:val="auto"/>
          <w:sz w:val="32"/>
          <w:szCs w:val="32"/>
          <w:shd w:val="clear" w:color="auto" w:fill="FFFFFF"/>
        </w:rPr>
        <w:t>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（1）一般公共服务支出</w:t>
      </w:r>
      <w:r>
        <w:rPr>
          <w:rFonts w:hint="default" w:ascii="Times New Roman" w:hAnsi="Times New Roman" w:eastAsia="方正仿宋_GBK" w:cs="Times New Roman"/>
          <w:color w:val="auto"/>
          <w:sz w:val="32"/>
          <w:szCs w:val="32"/>
        </w:rPr>
        <w:t>1619.31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78.81</w:t>
      </w:r>
      <w:r>
        <w:rPr>
          <w:rFonts w:hint="default" w:ascii="Times New Roman" w:hAnsi="Times New Roman" w:eastAsia="方正仿宋_GBK" w:cs="Times New Roman"/>
          <w:color w:val="auto"/>
          <w:sz w:val="32"/>
          <w:szCs w:val="32"/>
          <w:shd w:val="clear" w:color="auto" w:fill="FFFFFF"/>
        </w:rPr>
        <w:t>%，较年初预算数增加208.12万元，增长14.75%，主要原因是</w:t>
      </w:r>
      <w:r>
        <w:rPr>
          <w:rFonts w:hint="default" w:ascii="Times New Roman" w:hAnsi="Times New Roman" w:eastAsia="方正仿宋_GBK" w:cs="Times New Roman"/>
          <w:color w:val="auto"/>
          <w:sz w:val="32"/>
          <w:szCs w:val="32"/>
          <w:shd w:val="clear" w:color="auto" w:fill="FFFFFF"/>
          <w:lang w:val="en-US" w:eastAsia="zh-CN"/>
        </w:rPr>
        <w:t>本年度养老保险及职业年金等基数调整，经费增加；支付2021年津补贴政策衔接清算费用。</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298.14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14.51</w:t>
      </w:r>
      <w:r>
        <w:rPr>
          <w:rFonts w:hint="default" w:ascii="Times New Roman" w:hAnsi="Times New Roman" w:eastAsia="方正仿宋_GBK" w:cs="Times New Roman"/>
          <w:color w:val="auto"/>
          <w:sz w:val="32"/>
          <w:szCs w:val="32"/>
          <w:shd w:val="clear" w:color="auto" w:fill="FFFFFF"/>
        </w:rPr>
        <w:t>%，较年初预算数增加84.02万元，增长39.24%，主要原因是</w:t>
      </w:r>
      <w:r>
        <w:rPr>
          <w:rFonts w:hint="default" w:ascii="Times New Roman" w:hAnsi="Times New Roman" w:eastAsia="方正仿宋_GBK" w:cs="Times New Roman"/>
          <w:color w:val="auto"/>
          <w:sz w:val="32"/>
          <w:szCs w:val="32"/>
          <w:shd w:val="clear" w:color="auto" w:fill="FFFFFF"/>
          <w:lang w:val="en-US" w:eastAsia="zh-CN"/>
        </w:rPr>
        <w:t>本年度养老保险及职业年金等基数调整，经费增加；支付2021年津补贴政策衔接清算费用。</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46.17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2.25</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lang w:eastAsia="zh-CN"/>
        </w:rPr>
        <w:t>。</w:t>
      </w:r>
    </w:p>
    <w:p>
      <w:pPr>
        <w:keepNext w:val="0"/>
        <w:keepLines w:val="0"/>
        <w:pageBreakBefore w:val="0"/>
        <w:widowControl/>
        <w:kinsoku/>
        <w:overflowPunct/>
        <w:topLinePunct w:val="0"/>
        <w:autoSpaceDN/>
        <w:bidi w:val="0"/>
        <w:adjustRightInd/>
        <w:spacing w:beforeAutospacing="0" w:line="600" w:lineRule="exact"/>
        <w:ind w:firstLine="640" w:firstLineChars="200"/>
        <w:textAlignment w:val="auto"/>
        <w:rPr>
          <w:rFonts w:hint="default" w:ascii="Times New Roman" w:hAnsi="Times New Roman" w:eastAsia="方正仿宋_GBK" w:cs="Times New Roman"/>
          <w:color w:val="auto"/>
          <w:sz w:val="30"/>
          <w:szCs w:val="30"/>
          <w:shd w:val="clear" w:color="auto" w:fill="FFFFFF"/>
          <w:lang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住房保障支出91.04</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4.43</w:t>
      </w:r>
      <w:r>
        <w:rPr>
          <w:rFonts w:hint="default" w:ascii="Times New Roman" w:hAnsi="Times New Roman" w:eastAsia="方正仿宋_GBK" w:cs="Times New Roman"/>
          <w:color w:val="auto"/>
          <w:sz w:val="32"/>
          <w:szCs w:val="32"/>
          <w:shd w:val="clear" w:color="auto" w:fill="FFFFFF"/>
        </w:rPr>
        <w:t>%，较年初预算数无增减</w:t>
      </w:r>
      <w:r>
        <w:rPr>
          <w:rFonts w:hint="default" w:ascii="Times New Roman" w:hAnsi="Times New Roman" w:eastAsia="方正仿宋_GBK" w:cs="Times New Roman"/>
          <w:color w:val="auto"/>
          <w:sz w:val="32"/>
          <w:szCs w:val="32"/>
          <w:shd w:val="clear" w:color="auto" w:fill="FFFFFF"/>
          <w:lang w:eastAsia="zh-CN"/>
        </w:rPr>
        <w:t>。</w:t>
      </w:r>
    </w:p>
    <w:p>
      <w:pPr>
        <w:pStyle w:val="13"/>
        <w:keepNext w:val="0"/>
        <w:keepLines w:val="0"/>
        <w:pageBreakBefore w:val="0"/>
        <w:widowControl/>
        <w:kinsoku/>
        <w:overflowPunct/>
        <w:topLinePunct w:val="0"/>
        <w:autoSpaceDE w:val="0"/>
        <w:autoSpaceDN/>
        <w:bidi w:val="0"/>
        <w:adjustRightInd/>
        <w:spacing w:beforeAutospacing="0" w:line="600" w:lineRule="exact"/>
        <w:ind w:firstLine="643" w:firstLineChars="200"/>
        <w:textAlignment w:val="auto"/>
        <w:rPr>
          <w:rFonts w:hint="default" w:ascii="Times New Roman" w:hAnsi="Times New Roman" w:eastAsia="方正楷体_GBK" w:cs="Times New Roman"/>
          <w:b/>
          <w:bCs/>
          <w:color w:val="auto"/>
          <w:sz w:val="32"/>
          <w:szCs w:val="32"/>
          <w:shd w:val="clear" w:color="auto" w:fill="FFFFFF"/>
        </w:rPr>
      </w:pPr>
      <w:r>
        <w:rPr>
          <w:rFonts w:hint="default" w:ascii="Times New Roman" w:hAnsi="Times New Roman" w:eastAsia="方正楷体_GBK" w:cs="Times New Roman"/>
          <w:b/>
          <w:bCs/>
          <w:color w:val="auto"/>
          <w:sz w:val="32"/>
          <w:szCs w:val="32"/>
          <w:shd w:val="clear" w:color="auto" w:fill="FFFFFF"/>
        </w:rPr>
        <w:t>（四）一般公共预算财政拨款基本支出决算情况说明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1319.40</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1130.38</w:t>
      </w:r>
      <w:r>
        <w:rPr>
          <w:rFonts w:hint="default" w:ascii="Times New Roman" w:hAnsi="Times New Roman" w:eastAsia="方正仿宋_GBK" w:cs="Times New Roman"/>
          <w:color w:val="auto"/>
          <w:sz w:val="32"/>
          <w:szCs w:val="32"/>
          <w:shd w:val="clear" w:color="auto" w:fill="FFFFFF"/>
        </w:rPr>
        <w:t>万元，较上年决算数增加27.84万元，增长2.53%，主要原因是</w:t>
      </w:r>
      <w:r>
        <w:rPr>
          <w:rFonts w:hint="default" w:ascii="Times New Roman" w:hAnsi="Times New Roman" w:eastAsia="方正仿宋_GBK" w:cs="Times New Roman"/>
          <w:color w:val="auto"/>
          <w:sz w:val="32"/>
          <w:szCs w:val="32"/>
          <w:shd w:val="clear" w:color="auto" w:fill="FFFFFF"/>
          <w:lang w:val="en-US" w:eastAsia="zh-CN"/>
        </w:rPr>
        <w:t>本年度养老保险及职业年金等基数调整，经费增加；支付2021年津补贴政策衔接清算费用。</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kern w:val="0"/>
          <w:sz w:val="32"/>
          <w:szCs w:val="32"/>
          <w:shd w:val="clear" w:color="auto" w:fill="FFFFFF"/>
          <w:lang w:val="en-US" w:eastAsia="zh-CN" w:bidi="ar"/>
        </w:rPr>
        <w:t>基本工资、津贴补贴、奖金、社会保障缴费等。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189.03</w:t>
      </w:r>
      <w:r>
        <w:rPr>
          <w:rFonts w:hint="default" w:ascii="Times New Roman" w:hAnsi="Times New Roman" w:eastAsia="方正仿宋_GBK" w:cs="Times New Roman"/>
          <w:color w:val="auto"/>
          <w:sz w:val="32"/>
          <w:szCs w:val="32"/>
          <w:shd w:val="clear" w:color="auto" w:fill="FFFFFF"/>
        </w:rPr>
        <w:t>万元，较上年决算数增加3.23万元，增长1.74%，主要原因是</w:t>
      </w:r>
      <w:r>
        <w:rPr>
          <w:rFonts w:hint="default" w:ascii="Times New Roman" w:hAnsi="Times New Roman" w:eastAsia="方正仿宋_GBK" w:cs="Times New Roman"/>
          <w:color w:val="auto"/>
          <w:sz w:val="32"/>
          <w:szCs w:val="32"/>
          <w:lang w:val="en-US" w:eastAsia="zh-CN"/>
        </w:rPr>
        <w:t>2023年财政投资决算管理中心新购置车辆1台，公务用车运行维护费增加</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kern w:val="0"/>
          <w:sz w:val="32"/>
          <w:szCs w:val="32"/>
          <w:shd w:val="clear" w:color="auto" w:fill="FFFFFF"/>
          <w:lang w:val="en-US" w:eastAsia="zh-CN" w:bidi="ar"/>
        </w:rPr>
        <w:t>办公费、印刷费、水电费、邮电费、差旅费、会议费、培训费、交通费等。</w:t>
      </w:r>
    </w:p>
    <w:p>
      <w:pPr>
        <w:pStyle w:val="13"/>
        <w:keepNext w:val="0"/>
        <w:keepLines w:val="0"/>
        <w:pageBreakBefore w:val="0"/>
        <w:widowControl/>
        <w:kinsoku/>
        <w:overflowPunct/>
        <w:topLinePunct w:val="0"/>
        <w:autoSpaceDE w:val="0"/>
        <w:autoSpaceDN/>
        <w:bidi w:val="0"/>
        <w:adjustRightInd/>
        <w:spacing w:beforeAutospacing="0" w:line="600" w:lineRule="exact"/>
        <w:ind w:firstLine="643" w:firstLineChars="200"/>
        <w:textAlignment w:val="auto"/>
        <w:rPr>
          <w:rFonts w:hint="default" w:ascii="Times New Roman" w:hAnsi="Times New Roman" w:eastAsia="方正楷体_GBK" w:cs="Times New Roman"/>
          <w:b/>
          <w:bCs/>
          <w:color w:val="auto"/>
          <w:sz w:val="32"/>
          <w:szCs w:val="32"/>
          <w:shd w:val="clear" w:color="auto" w:fill="FFFFFF"/>
        </w:rPr>
      </w:pPr>
      <w:r>
        <w:rPr>
          <w:rFonts w:hint="default" w:ascii="Times New Roman" w:hAnsi="Times New Roman" w:eastAsia="方正楷体_GBK" w:cs="Times New Roman"/>
          <w:b/>
          <w:bCs/>
          <w:color w:val="auto"/>
          <w:sz w:val="32"/>
          <w:szCs w:val="32"/>
          <w:shd w:val="clear" w:color="auto" w:fill="FFFFFF"/>
        </w:rPr>
        <w:t>（五）政府性基金预算收支决算情况说明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auto"/>
        </w:rPr>
      </w:pPr>
      <w:r>
        <w:rPr>
          <w:rStyle w:val="12"/>
          <w:rFonts w:hint="default" w:ascii="Times New Roman" w:hAnsi="Times New Roman" w:eastAsia="方正仿宋_GBK" w:cs="Times New Roman"/>
          <w:b w:val="0"/>
          <w:bCs/>
          <w:color w:val="auto"/>
          <w:sz w:val="32"/>
          <w:szCs w:val="32"/>
          <w:shd w:val="clear" w:color="auto" w:fill="auto"/>
        </w:rPr>
        <w:t>本单位2023年度无政府性基金预算财政拨款收支。</w:t>
      </w:r>
    </w:p>
    <w:p>
      <w:pPr>
        <w:pStyle w:val="13"/>
        <w:keepNext w:val="0"/>
        <w:keepLines w:val="0"/>
        <w:pageBreakBefore w:val="0"/>
        <w:widowControl/>
        <w:kinsoku/>
        <w:overflowPunct/>
        <w:topLinePunct w:val="0"/>
        <w:autoSpaceDE w:val="0"/>
        <w:autoSpaceDN/>
        <w:bidi w:val="0"/>
        <w:adjustRightInd/>
        <w:spacing w:beforeAutospacing="0" w:line="600" w:lineRule="exact"/>
        <w:ind w:firstLine="643" w:firstLineChars="200"/>
        <w:textAlignment w:val="auto"/>
        <w:rPr>
          <w:rFonts w:hint="default" w:ascii="Times New Roman" w:hAnsi="Times New Roman" w:eastAsia="方正楷体_GBK" w:cs="Times New Roman"/>
          <w:b/>
          <w:bCs/>
          <w:color w:val="auto"/>
          <w:sz w:val="32"/>
          <w:szCs w:val="32"/>
          <w:shd w:val="clear" w:color="auto" w:fill="FFFFFF"/>
        </w:rPr>
      </w:pPr>
      <w:r>
        <w:rPr>
          <w:rFonts w:hint="default" w:ascii="Times New Roman" w:hAnsi="Times New Roman" w:eastAsia="方正楷体_GBK" w:cs="Times New Roman"/>
          <w:b/>
          <w:bCs/>
          <w:color w:val="auto"/>
          <w:sz w:val="32"/>
          <w:szCs w:val="32"/>
          <w:shd w:val="clear" w:color="auto" w:fill="FFFFFF"/>
        </w:rPr>
        <w:t>（六）国有资本经营预算财政拨款支出决算情况说明</w:t>
      </w:r>
    </w:p>
    <w:p>
      <w:pPr>
        <w:pStyle w:val="13"/>
        <w:keepNext w:val="0"/>
        <w:keepLines w:val="0"/>
        <w:pageBreakBefore w:val="0"/>
        <w:widowControl/>
        <w:kinsoku/>
        <w:overflowPunct/>
        <w:topLinePunct w:val="0"/>
        <w:autoSpaceDE w:val="0"/>
        <w:autoSpaceDN/>
        <w:bidi w:val="0"/>
        <w:adjustRightInd/>
        <w:spacing w:beforeAutospacing="0" w:line="600" w:lineRule="exact"/>
        <w:ind w:firstLine="640" w:firstLineChars="200"/>
        <w:textAlignment w:val="auto"/>
        <w:rPr>
          <w:rFonts w:hint="eastAsia" w:ascii="方正仿宋_GBK" w:hAnsi="方正仿宋_GBK" w:eastAsia="方正仿宋_GBK" w:cs="方正仿宋_GBK"/>
          <w:b w:val="0"/>
          <w:bCs w:val="0"/>
          <w:color w:val="auto"/>
          <w:sz w:val="32"/>
          <w:szCs w:val="32"/>
          <w:shd w:val="clear" w:color="auto" w:fill="FFFFFF"/>
        </w:rPr>
      </w:pPr>
      <w:bookmarkStart w:id="0" w:name="_GoBack"/>
      <w:r>
        <w:rPr>
          <w:rStyle w:val="12"/>
          <w:rFonts w:hint="eastAsia" w:ascii="方正仿宋_GBK" w:hAnsi="方正仿宋_GBK" w:eastAsia="方正仿宋_GBK" w:cs="方正仿宋_GBK"/>
          <w:b w:val="0"/>
          <w:bCs/>
          <w:color w:val="auto"/>
          <w:sz w:val="32"/>
          <w:szCs w:val="32"/>
          <w:shd w:val="clear" w:color="auto" w:fill="auto"/>
        </w:rPr>
        <w:t>本单位2023年</w:t>
      </w:r>
      <w:r>
        <w:rPr>
          <w:rFonts w:hint="eastAsia" w:ascii="方正仿宋_GBK" w:hAnsi="方正仿宋_GBK" w:eastAsia="方正仿宋_GBK" w:cs="方正仿宋_GBK"/>
          <w:b w:val="0"/>
          <w:bCs w:val="0"/>
          <w:color w:val="auto"/>
          <w:sz w:val="32"/>
          <w:szCs w:val="32"/>
          <w:shd w:val="clear" w:color="auto" w:fill="FFFFFF"/>
        </w:rPr>
        <w:t>度无国有资本经营预算财政拨款支出。</w:t>
      </w:r>
    </w:p>
    <w:bookmarkEnd w:id="0"/>
    <w:p>
      <w:pPr>
        <w:pStyle w:val="13"/>
        <w:keepNext w:val="0"/>
        <w:keepLines w:val="0"/>
        <w:pageBreakBefore w:val="0"/>
        <w:widowControl/>
        <w:kinsoku/>
        <w:overflowPunct/>
        <w:topLinePunct w:val="0"/>
        <w:autoSpaceDE w:val="0"/>
        <w:autoSpaceDN/>
        <w:bidi w:val="0"/>
        <w:adjustRightInd/>
        <w:spacing w:beforeAutospacing="0" w:line="600" w:lineRule="exact"/>
        <w:ind w:firstLine="640" w:firstLineChars="200"/>
        <w:textAlignment w:val="auto"/>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rPr>
        <w:t>三、“三公”经费情况说明</w:t>
      </w:r>
    </w:p>
    <w:p>
      <w:pPr>
        <w:pStyle w:val="13"/>
        <w:keepNext w:val="0"/>
        <w:keepLines w:val="0"/>
        <w:pageBreakBefore w:val="0"/>
        <w:widowControl/>
        <w:kinsoku/>
        <w:overflowPunct/>
        <w:topLinePunct w:val="0"/>
        <w:autoSpaceDE w:val="0"/>
        <w:autoSpaceDN/>
        <w:bidi w:val="0"/>
        <w:adjustRightInd/>
        <w:spacing w:beforeAutospacing="0" w:line="600" w:lineRule="exact"/>
        <w:ind w:firstLine="640" w:firstLineChars="200"/>
        <w:textAlignment w:val="auto"/>
        <w:rPr>
          <w:rFonts w:hint="eastAsia" w:ascii="方正楷体_GBK" w:hAnsi="方正楷体_GBK" w:eastAsia="方正楷体_GBK" w:cs="方正楷体_GBK"/>
          <w:b/>
          <w:bCs/>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 xml:space="preserve"> </w:t>
      </w:r>
      <w:r>
        <w:rPr>
          <w:rFonts w:hint="eastAsia" w:ascii="方正楷体_GBK" w:hAnsi="方正楷体_GBK" w:eastAsia="方正楷体_GBK" w:cs="方正楷体_GBK"/>
          <w:b/>
          <w:bCs/>
          <w:color w:val="auto"/>
          <w:sz w:val="32"/>
          <w:szCs w:val="32"/>
          <w:shd w:val="clear" w:color="auto" w:fill="FFFFFF"/>
        </w:rPr>
        <w:t>（一）“三公”经费支出总体情况说明</w:t>
      </w:r>
    </w:p>
    <w:p>
      <w:pPr>
        <w:pStyle w:val="13"/>
        <w:keepNext w:val="0"/>
        <w:keepLines w:val="0"/>
        <w:pageBreakBefore w:val="0"/>
        <w:widowControl/>
        <w:kinsoku/>
        <w:overflowPunct/>
        <w:topLinePunct w:val="0"/>
        <w:autoSpaceDE w:val="0"/>
        <w:autoSpaceDN/>
        <w:bidi w:val="0"/>
        <w:adjustRightInd/>
        <w:spacing w:beforeAutospacing="0"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shd w:val="clear" w:color="auto" w:fill="FFFFFF"/>
        </w:rPr>
        <w:t>2023年度“三公”经费支出共计38.18万元</w:t>
      </w:r>
      <w:r>
        <w:rPr>
          <w:rFonts w:hint="default" w:ascii="Times New Roman" w:hAnsi="Times New Roman" w:eastAsia="方正仿宋_GBK" w:cs="Times New Roman"/>
          <w:color w:val="auto"/>
          <w:sz w:val="32"/>
          <w:szCs w:val="32"/>
          <w:shd w:val="clear" w:color="auto" w:fill="FFFFFF"/>
        </w:rPr>
        <w:t>，较年初预算数减少10.32万元，下降21.28%，主要原因是</w:t>
      </w:r>
      <w:r>
        <w:rPr>
          <w:rFonts w:hint="default" w:ascii="Times New Roman" w:hAnsi="Times New Roman" w:eastAsia="方正仿宋_GBK" w:cs="Times New Roman"/>
          <w:color w:val="auto"/>
          <w:sz w:val="32"/>
          <w:szCs w:val="32"/>
          <w:shd w:val="clear" w:fill="FFFFFF"/>
        </w:rPr>
        <w:t>严格落实公车使用规定</w:t>
      </w:r>
      <w:r>
        <w:rPr>
          <w:rFonts w:hint="default" w:ascii="Times New Roman" w:hAnsi="Times New Roman" w:eastAsia="方正仿宋_GBK" w:cs="Times New Roman"/>
          <w:color w:val="auto"/>
          <w:sz w:val="32"/>
          <w:szCs w:val="32"/>
          <w:shd w:val="clear" w:fill="FFFFFF"/>
          <w:lang w:eastAsia="zh-CN"/>
        </w:rPr>
        <w:t>，</w:t>
      </w:r>
      <w:r>
        <w:rPr>
          <w:rFonts w:hint="default" w:ascii="Times New Roman" w:hAnsi="Times New Roman" w:eastAsia="方正仿宋_GBK" w:cs="Times New Roman"/>
          <w:color w:val="auto"/>
          <w:sz w:val="32"/>
          <w:szCs w:val="32"/>
          <w:shd w:val="clear" w:fill="FFFFFF"/>
        </w:rPr>
        <w:t>公务用车运行维护成本下降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shd w:val="clear" w:color="auto" w:fill="FFFFFF"/>
        </w:rPr>
        <w:t>较上年支出数增加14.99万元，增长64.64%，主要原因是</w:t>
      </w:r>
      <w:r>
        <w:rPr>
          <w:rFonts w:hint="default" w:ascii="Times New Roman" w:hAnsi="Times New Roman" w:eastAsia="方正仿宋_GBK" w:cs="Times New Roman"/>
          <w:color w:val="auto"/>
          <w:sz w:val="32"/>
          <w:szCs w:val="32"/>
          <w:lang w:val="en-US" w:eastAsia="zh-CN"/>
        </w:rPr>
        <w:t>2023年财政投资决算管理中心新购置车辆1台，公务用车运行维护费增加。</w:t>
      </w:r>
    </w:p>
    <w:p>
      <w:pPr>
        <w:pStyle w:val="13"/>
        <w:keepNext w:val="0"/>
        <w:keepLines w:val="0"/>
        <w:pageBreakBefore w:val="0"/>
        <w:widowControl/>
        <w:kinsoku/>
        <w:overflowPunct/>
        <w:topLinePunct w:val="0"/>
        <w:autoSpaceDE w:val="0"/>
        <w:autoSpaceDN/>
        <w:bidi w:val="0"/>
        <w:adjustRightInd/>
        <w:spacing w:beforeAutospacing="0" w:line="600" w:lineRule="exact"/>
        <w:ind w:firstLine="643" w:firstLineChars="200"/>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（二）“三公”经费分项支出情况</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hint="default" w:ascii="Times New Roman" w:hAnsi="Times New Roman" w:eastAsia="方正仿宋_GBK" w:cs="Times New Roman"/>
          <w:color w:val="auto"/>
          <w:kern w:val="0"/>
          <w:sz w:val="32"/>
          <w:szCs w:val="32"/>
          <w:shd w:val="clear" w:color="auto" w:fill="FFFFFF"/>
          <w:lang w:val="en-US" w:eastAsia="zh-CN" w:bidi="ar"/>
        </w:rPr>
        <w:t>本单位2023年度未发生因公出国（境）费用。</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公务车购置费</w:t>
      </w:r>
      <w:r>
        <w:rPr>
          <w:rFonts w:hint="default" w:ascii="Times New Roman" w:hAnsi="Times New Roman" w:eastAsia="方正仿宋_GBK" w:cs="Times New Roman"/>
          <w:color w:val="auto"/>
          <w:sz w:val="32"/>
          <w:szCs w:val="32"/>
        </w:rPr>
        <w:t>19.98</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val="en-US" w:eastAsia="zh-CN"/>
        </w:rPr>
        <w:t>财政投资决算管理中心日常工作开展</w:t>
      </w:r>
      <w:r>
        <w:rPr>
          <w:rFonts w:hint="default" w:ascii="Times New Roman" w:hAnsi="Times New Roman" w:eastAsia="方正仿宋_GBK" w:cs="Times New Roman"/>
          <w:color w:val="auto"/>
          <w:sz w:val="32"/>
          <w:szCs w:val="32"/>
          <w:shd w:val="clear" w:color="auto" w:fill="FFFFFF"/>
        </w:rPr>
        <w:t>。费用支出较年初预算数减少0.02万元，下降0.10%。较上年支出数增加19.98万元，增长100.00%，主要原因是</w:t>
      </w:r>
      <w:r>
        <w:rPr>
          <w:rFonts w:hint="default" w:ascii="Times New Roman" w:hAnsi="Times New Roman" w:eastAsia="方正仿宋_GBK" w:cs="Times New Roman"/>
          <w:color w:val="auto"/>
          <w:sz w:val="32"/>
          <w:szCs w:val="32"/>
          <w:lang w:val="en-US" w:eastAsia="zh-CN"/>
        </w:rPr>
        <w:t>2023年财政投资决算管理中心新购置车辆1台。</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公务车运行维护费</w:t>
      </w:r>
      <w:r>
        <w:rPr>
          <w:rFonts w:hint="default" w:ascii="Times New Roman" w:hAnsi="Times New Roman" w:eastAsia="方正仿宋_GBK" w:cs="Times New Roman"/>
          <w:color w:val="auto"/>
          <w:sz w:val="32"/>
          <w:szCs w:val="32"/>
        </w:rPr>
        <w:t>12.00</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kern w:val="0"/>
          <w:sz w:val="32"/>
          <w:szCs w:val="32"/>
          <w:shd w:val="clear" w:color="auto" w:fill="FFFFFF"/>
          <w:lang w:val="en-US" w:eastAsia="zh-CN" w:bidi="ar"/>
        </w:rPr>
        <w:t>银行票据的交换（必需当天清算），财政业务检查等工作所需车辆的燃料费、维修费、过桥过路费、保险费等。</w:t>
      </w:r>
      <w:r>
        <w:rPr>
          <w:rFonts w:hint="default" w:ascii="Times New Roman" w:hAnsi="Times New Roman" w:eastAsia="方正仿宋_GBK" w:cs="Times New Roman"/>
          <w:color w:val="auto"/>
          <w:sz w:val="32"/>
          <w:szCs w:val="32"/>
          <w:shd w:val="clear" w:color="auto" w:fill="FFFFFF"/>
        </w:rPr>
        <w:t>费用支出较年初预算数无增减</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较上年支出数增加4.00万元，增长50.00%，主要原因是</w:t>
      </w:r>
      <w:r>
        <w:rPr>
          <w:rFonts w:hint="default" w:ascii="Times New Roman" w:hAnsi="Times New Roman" w:eastAsia="方正仿宋_GBK" w:cs="Times New Roman"/>
          <w:color w:val="auto"/>
          <w:sz w:val="32"/>
          <w:szCs w:val="32"/>
          <w:lang w:val="en-US" w:eastAsia="zh-CN"/>
        </w:rPr>
        <w:t>2023年财政投资决算管理中心新购置车辆1台，公务用车运行维护费增加。</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bidi="ar"/>
        </w:rPr>
      </w:pPr>
      <w:r>
        <w:rPr>
          <w:rFonts w:hint="default" w:ascii="Times New Roman" w:hAnsi="Times New Roman" w:eastAsia="方正仿宋_GBK" w:cs="Times New Roman"/>
          <w:color w:val="auto"/>
          <w:sz w:val="32"/>
          <w:szCs w:val="32"/>
          <w:shd w:val="clear" w:color="auto" w:fill="FFFFFF"/>
        </w:rPr>
        <w:t> 公务接待费</w:t>
      </w:r>
      <w:r>
        <w:rPr>
          <w:rFonts w:hint="default" w:ascii="Times New Roman" w:hAnsi="Times New Roman" w:eastAsia="方正仿宋_GBK" w:cs="Times New Roman"/>
          <w:color w:val="auto"/>
          <w:sz w:val="32"/>
          <w:szCs w:val="32"/>
        </w:rPr>
        <w:t>6.20</w:t>
      </w:r>
      <w:r>
        <w:rPr>
          <w:rFonts w:hint="default" w:ascii="Times New Roman" w:hAnsi="Times New Roman" w:eastAsia="方正仿宋_GBK" w:cs="Times New Roman"/>
          <w:color w:val="auto"/>
          <w:sz w:val="32"/>
          <w:szCs w:val="32"/>
          <w:shd w:val="clear" w:color="auto" w:fill="FFFFFF"/>
        </w:rPr>
        <w:t>万元，主要用于接待</w:t>
      </w:r>
      <w:r>
        <w:rPr>
          <w:rFonts w:hint="default" w:ascii="Times New Roman" w:hAnsi="Times New Roman" w:eastAsia="方正仿宋_GBK" w:cs="Times New Roman"/>
          <w:color w:val="auto"/>
          <w:kern w:val="0"/>
          <w:sz w:val="32"/>
          <w:szCs w:val="32"/>
          <w:shd w:val="clear" w:color="auto" w:fill="FFFFFF"/>
          <w:lang w:val="en-US" w:eastAsia="zh-CN" w:bidi="ar"/>
        </w:rPr>
        <w:t>相关部门检查指导工</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shd w:val="clear" w:color="auto" w:fill="FFFFFF"/>
          <w:lang w:val="en-US" w:eastAsia="zh-CN" w:bidi="ar"/>
        </w:rPr>
        <w:t>作发生的接待、乡镇财政业务指导等支出。</w:t>
      </w:r>
      <w:r>
        <w:rPr>
          <w:rFonts w:hint="default" w:ascii="Times New Roman" w:hAnsi="Times New Roman" w:eastAsia="方正仿宋_GBK" w:cs="Times New Roman"/>
          <w:color w:val="auto"/>
          <w:sz w:val="32"/>
          <w:szCs w:val="32"/>
          <w:shd w:val="clear" w:color="auto" w:fill="FFFFFF"/>
        </w:rPr>
        <w:t>费用支出较年初预算数减少10.30万元，下降62.42%，主要原因是</w:t>
      </w:r>
      <w:r>
        <w:rPr>
          <w:rFonts w:hint="default" w:ascii="Times New Roman" w:hAnsi="Times New Roman" w:eastAsia="方正仿宋_GBK" w:cs="Times New Roman"/>
          <w:color w:val="auto"/>
          <w:kern w:val="0"/>
          <w:sz w:val="32"/>
          <w:szCs w:val="32"/>
          <w:shd w:val="clear" w:color="auto" w:fill="FFFFFF"/>
          <w:lang w:val="en-US" w:eastAsia="zh-CN" w:bidi="ar"/>
        </w:rPr>
        <w:t>强化公务接待支出管理，严格遵守公务接待开支范围和开支标准，严格控制陪餐人数。</w:t>
      </w:r>
      <w:r>
        <w:rPr>
          <w:rFonts w:hint="default" w:ascii="Times New Roman" w:hAnsi="Times New Roman" w:eastAsia="方正仿宋_GBK" w:cs="Times New Roman"/>
          <w:color w:val="auto"/>
          <w:sz w:val="32"/>
          <w:szCs w:val="32"/>
          <w:shd w:val="clear" w:color="auto" w:fill="FFFFFF"/>
        </w:rPr>
        <w:t>较上年支出数减少8.99万元，下降59.18%，主要原因是</w:t>
      </w:r>
      <w:r>
        <w:rPr>
          <w:rFonts w:hint="default" w:ascii="Times New Roman" w:hAnsi="Times New Roman" w:eastAsia="方正仿宋_GBK" w:cs="Times New Roman"/>
          <w:color w:val="auto"/>
          <w:kern w:val="0"/>
          <w:sz w:val="32"/>
          <w:szCs w:val="32"/>
          <w:shd w:val="clear" w:color="auto" w:fill="FFFFFF"/>
          <w:lang w:val="en-US" w:eastAsia="zh-CN" w:bidi="ar"/>
        </w:rPr>
        <w:t>强化公务接待支出管理，严格遵守公务接待开支范围和开支标准，严格控制陪餐人数。</w:t>
      </w:r>
    </w:p>
    <w:p>
      <w:pPr>
        <w:pStyle w:val="13"/>
        <w:keepNext w:val="0"/>
        <w:keepLines w:val="0"/>
        <w:pageBreakBefore w:val="0"/>
        <w:widowControl/>
        <w:kinsoku/>
        <w:overflowPunct/>
        <w:topLinePunct w:val="0"/>
        <w:autoSpaceDE w:val="0"/>
        <w:autoSpaceDN/>
        <w:bidi w:val="0"/>
        <w:adjustRightInd/>
        <w:spacing w:beforeAutospacing="0" w:line="600" w:lineRule="exact"/>
        <w:ind w:firstLine="643" w:firstLineChars="200"/>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（三）“三公”经费实物量情况</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120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530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117.00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19.98</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6.00</w:t>
      </w:r>
      <w:r>
        <w:rPr>
          <w:rFonts w:hint="default" w:ascii="Times New Roman" w:hAnsi="Times New Roman" w:eastAsia="方正仿宋_GBK" w:cs="Times New Roman"/>
          <w:color w:val="auto"/>
          <w:sz w:val="32"/>
          <w:szCs w:val="32"/>
          <w:shd w:val="clear" w:color="auto" w:fill="FFFFFF"/>
        </w:rPr>
        <w:t>万元。</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rPr>
        <w:t>四、其他需要说明的事项</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 （一）财政拨款会议费和培训费情况说明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本年度会议费支出</w:t>
      </w:r>
      <w:r>
        <w:rPr>
          <w:rFonts w:hint="default" w:ascii="Times New Roman" w:hAnsi="Times New Roman" w:eastAsia="方正仿宋_GBK" w:cs="Times New Roman"/>
          <w:color w:val="auto"/>
          <w:sz w:val="32"/>
          <w:szCs w:val="32"/>
        </w:rPr>
        <w:t>13.96</w:t>
      </w:r>
      <w:r>
        <w:rPr>
          <w:rFonts w:hint="default" w:ascii="Times New Roman" w:hAnsi="Times New Roman" w:eastAsia="方正仿宋_GBK" w:cs="Times New Roman"/>
          <w:color w:val="auto"/>
          <w:sz w:val="32"/>
          <w:szCs w:val="32"/>
          <w:shd w:val="clear" w:color="auto" w:fill="FFFFFF"/>
        </w:rPr>
        <w:t>万元，较上年决算数减少19.04万元，下降57.70%，主要原因是</w:t>
      </w:r>
      <w:r>
        <w:rPr>
          <w:rFonts w:hint="default" w:ascii="Times New Roman" w:hAnsi="Times New Roman" w:eastAsia="方正仿宋_GBK" w:cs="Times New Roman"/>
          <w:color w:val="auto"/>
          <w:sz w:val="32"/>
          <w:szCs w:val="32"/>
          <w:shd w:val="clear" w:color="auto" w:fill="FFFFFF"/>
          <w:lang w:val="en-US" w:eastAsia="zh-CN"/>
        </w:rPr>
        <w:t>本年度严格落实过紧日子要求</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65.93</w:t>
      </w:r>
      <w:r>
        <w:rPr>
          <w:rFonts w:hint="default" w:ascii="Times New Roman" w:hAnsi="Times New Roman" w:eastAsia="方正仿宋_GBK" w:cs="Times New Roman"/>
          <w:color w:val="auto"/>
          <w:sz w:val="32"/>
          <w:szCs w:val="32"/>
          <w:shd w:val="clear" w:color="auto" w:fill="FFFFFF"/>
        </w:rPr>
        <w:t>万元，较上年决算数减少35.17万元，下降34.79%，主要原因是</w:t>
      </w:r>
      <w:r>
        <w:rPr>
          <w:rFonts w:hint="default" w:ascii="Times New Roman" w:hAnsi="Times New Roman" w:eastAsia="方正仿宋_GBK" w:cs="Times New Roman"/>
          <w:color w:val="auto"/>
          <w:sz w:val="32"/>
          <w:szCs w:val="32"/>
          <w:shd w:val="clear" w:color="auto" w:fill="FFFFFF"/>
          <w:lang w:val="en-US" w:eastAsia="zh-CN"/>
        </w:rPr>
        <w:t>减少培训次数，提高培训质量</w:t>
      </w:r>
      <w:r>
        <w:rPr>
          <w:rFonts w:hint="default" w:ascii="Times New Roman" w:hAnsi="Times New Roman" w:eastAsia="方正仿宋_GBK" w:cs="Times New Roman"/>
          <w:color w:val="auto"/>
          <w:sz w:val="32"/>
          <w:szCs w:val="32"/>
          <w:shd w:val="clear" w:color="auto" w:fill="FFFFFF"/>
        </w:rPr>
        <w:t>。</w:t>
      </w:r>
    </w:p>
    <w:p>
      <w:pPr>
        <w:pStyle w:val="13"/>
        <w:keepNext w:val="0"/>
        <w:keepLines w:val="0"/>
        <w:pageBreakBefore w:val="0"/>
        <w:widowControl/>
        <w:kinsoku/>
        <w:overflowPunct/>
        <w:topLinePunct w:val="0"/>
        <w:autoSpaceDE w:val="0"/>
        <w:autoSpaceDN/>
        <w:bidi w:val="0"/>
        <w:adjustRightInd/>
        <w:spacing w:beforeAutospacing="0" w:line="600" w:lineRule="exact"/>
        <w:ind w:firstLine="643" w:firstLineChars="200"/>
        <w:textAlignment w:val="auto"/>
        <w:rPr>
          <w:rFonts w:hint="default" w:ascii="Times New Roman" w:hAnsi="Times New Roman" w:eastAsia="方正楷体_GBK" w:cs="Times New Roman"/>
          <w:b/>
          <w:bCs/>
          <w:color w:val="auto"/>
          <w:sz w:val="32"/>
          <w:szCs w:val="32"/>
          <w:shd w:val="clear" w:color="auto" w:fill="FFFFFF"/>
        </w:rPr>
      </w:pPr>
      <w:r>
        <w:rPr>
          <w:rFonts w:hint="default" w:ascii="Times New Roman" w:hAnsi="Times New Roman" w:eastAsia="方正楷体_GBK" w:cs="Times New Roman"/>
          <w:b/>
          <w:bCs/>
          <w:color w:val="auto"/>
          <w:sz w:val="32"/>
          <w:szCs w:val="32"/>
          <w:shd w:val="clear" w:color="auto" w:fill="FFFFFF"/>
        </w:rPr>
        <w:t>（二）机关运行经费情况说明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2023年度本单位机关运行经费支出</w:t>
      </w:r>
      <w:r>
        <w:rPr>
          <w:rFonts w:hint="default" w:ascii="Times New Roman" w:hAnsi="Times New Roman" w:eastAsia="方正仿宋_GBK" w:cs="Times New Roman"/>
          <w:color w:val="auto"/>
          <w:sz w:val="32"/>
          <w:szCs w:val="32"/>
        </w:rPr>
        <w:t>189.03</w:t>
      </w:r>
      <w:r>
        <w:rPr>
          <w:rFonts w:hint="default" w:ascii="Times New Roman" w:hAnsi="Times New Roman" w:eastAsia="方正仿宋_GBK" w:cs="Times New Roman"/>
          <w:color w:val="auto"/>
          <w:sz w:val="32"/>
          <w:szCs w:val="32"/>
          <w:shd w:val="clear" w:color="auto" w:fill="FFFFFF"/>
        </w:rPr>
        <w:t>万元，机关运行经费主要用于开支</w:t>
      </w:r>
      <w:r>
        <w:rPr>
          <w:rFonts w:hint="default" w:ascii="Times New Roman" w:hAnsi="Times New Roman" w:eastAsia="方正仿宋_GBK" w:cs="Times New Roman"/>
          <w:color w:val="auto"/>
          <w:kern w:val="0"/>
          <w:sz w:val="32"/>
          <w:szCs w:val="32"/>
          <w:shd w:val="clear" w:color="auto" w:fill="FFFFFF"/>
          <w:lang w:val="en-US" w:eastAsia="zh-CN" w:bidi="ar"/>
        </w:rPr>
        <w:t>办公费、印刷费、水电费、邮电费、差旅费、会议费、培训费、交通费等。</w:t>
      </w:r>
      <w:r>
        <w:rPr>
          <w:rFonts w:hint="default" w:ascii="Times New Roman" w:hAnsi="Times New Roman" w:eastAsia="方正仿宋_GBK" w:cs="Times New Roman"/>
          <w:color w:val="auto"/>
          <w:sz w:val="32"/>
          <w:szCs w:val="32"/>
          <w:shd w:val="clear" w:color="auto" w:fill="FFFFFF"/>
        </w:rPr>
        <w:t>机关运行经费较上年支出数增加3.23万元，增长1.74%，主要原因是</w:t>
      </w:r>
      <w:r>
        <w:rPr>
          <w:rFonts w:hint="default" w:ascii="Times New Roman" w:hAnsi="Times New Roman" w:eastAsia="方正仿宋_GBK" w:cs="Times New Roman"/>
          <w:color w:val="auto"/>
          <w:sz w:val="32"/>
          <w:szCs w:val="32"/>
          <w:lang w:val="en-US" w:eastAsia="zh-CN"/>
        </w:rPr>
        <w:t>2023年财政投资决算管理中心新增车辆1辆，公务用车运行维护费增加。</w:t>
      </w:r>
    </w:p>
    <w:p>
      <w:pPr>
        <w:pStyle w:val="13"/>
        <w:keepNext w:val="0"/>
        <w:keepLines w:val="0"/>
        <w:pageBreakBefore w:val="0"/>
        <w:widowControl/>
        <w:kinsoku/>
        <w:overflowPunct/>
        <w:topLinePunct w:val="0"/>
        <w:autoSpaceDE w:val="0"/>
        <w:autoSpaceDN/>
        <w:bidi w:val="0"/>
        <w:adjustRightInd/>
        <w:spacing w:beforeAutospacing="0" w:line="600" w:lineRule="exact"/>
        <w:ind w:firstLine="643" w:firstLineChars="200"/>
        <w:textAlignment w:val="auto"/>
        <w:rPr>
          <w:rFonts w:hint="default" w:ascii="Times New Roman" w:hAnsi="Times New Roman" w:eastAsia="方正楷体_GBK" w:cs="Times New Roman"/>
          <w:b/>
          <w:bCs/>
          <w:color w:val="auto"/>
          <w:sz w:val="32"/>
          <w:szCs w:val="32"/>
          <w:shd w:val="clear" w:color="auto" w:fill="FFFFFF"/>
        </w:rPr>
      </w:pPr>
      <w:r>
        <w:rPr>
          <w:rFonts w:hint="default" w:ascii="Times New Roman" w:hAnsi="Times New Roman" w:eastAsia="方正楷体_GBK" w:cs="Times New Roman"/>
          <w:b/>
          <w:bCs/>
          <w:color w:val="auto"/>
          <w:sz w:val="32"/>
          <w:szCs w:val="32"/>
          <w:shd w:val="clear" w:color="auto" w:fill="FFFFFF"/>
        </w:rPr>
        <w:t>（三）国有资产占用情况说明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截至2023年12月31日，本单位共有车辆</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3"/>
        <w:keepNext w:val="0"/>
        <w:keepLines w:val="0"/>
        <w:pageBreakBefore w:val="0"/>
        <w:widowControl/>
        <w:kinsoku/>
        <w:overflowPunct/>
        <w:topLinePunct w:val="0"/>
        <w:autoSpaceDE w:val="0"/>
        <w:autoSpaceDN/>
        <w:bidi w:val="0"/>
        <w:adjustRightInd/>
        <w:spacing w:beforeAutospacing="0" w:line="600" w:lineRule="exact"/>
        <w:ind w:firstLine="643" w:firstLineChars="200"/>
        <w:textAlignment w:val="auto"/>
        <w:rPr>
          <w:rFonts w:hint="default" w:ascii="Times New Roman" w:hAnsi="Times New Roman" w:eastAsia="方正楷体_GBK" w:cs="Times New Roman"/>
          <w:b/>
          <w:bCs/>
          <w:color w:val="auto"/>
          <w:sz w:val="32"/>
          <w:szCs w:val="32"/>
          <w:shd w:val="clear" w:color="auto" w:fill="FFFFFF"/>
        </w:rPr>
      </w:pPr>
      <w:r>
        <w:rPr>
          <w:rFonts w:hint="default" w:ascii="Times New Roman" w:hAnsi="Times New Roman" w:eastAsia="方正楷体_GBK" w:cs="Times New Roman"/>
          <w:b/>
          <w:bCs/>
          <w:color w:val="auto"/>
          <w:sz w:val="32"/>
          <w:szCs w:val="32"/>
          <w:shd w:val="clear" w:color="auto" w:fill="FFFFFF"/>
        </w:rPr>
        <w:t>（四）政府采购支出情况说明</w:t>
      </w:r>
    </w:p>
    <w:p>
      <w:pPr>
        <w:pStyle w:val="8"/>
        <w:keepNext w:val="0"/>
        <w:keepLines w:val="0"/>
        <w:pageBreakBefore w:val="0"/>
        <w:widowControl/>
        <w:suppressLineNumbers w:val="0"/>
        <w:kinsoku/>
        <w:overflowPunct/>
        <w:topLinePunct w:val="0"/>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2023年度本单位政府采购支出总额</w:t>
      </w:r>
      <w:r>
        <w:rPr>
          <w:rFonts w:hint="default" w:ascii="Times New Roman" w:hAnsi="Times New Roman" w:eastAsia="方正仿宋_GBK" w:cs="Times New Roman"/>
          <w:color w:val="auto"/>
          <w:sz w:val="32"/>
          <w:szCs w:val="32"/>
        </w:rPr>
        <w:t>24.38</w:t>
      </w:r>
      <w:r>
        <w:rPr>
          <w:rFonts w:hint="default" w:ascii="Times New Roman" w:hAnsi="Times New Roman" w:eastAsia="方正仿宋_GBK" w:cs="Times New Roman"/>
          <w:color w:val="auto"/>
          <w:sz w:val="32"/>
          <w:szCs w:val="32"/>
          <w:shd w:val="clear" w:color="auto" w:fill="FFFFFF"/>
        </w:rPr>
        <w:t>万元，其中：政府采购货物支出</w:t>
      </w:r>
      <w:r>
        <w:rPr>
          <w:rFonts w:hint="default" w:ascii="Times New Roman" w:hAnsi="Times New Roman" w:eastAsia="方正仿宋_GBK" w:cs="Times New Roman"/>
          <w:color w:val="auto"/>
          <w:sz w:val="32"/>
          <w:szCs w:val="32"/>
        </w:rPr>
        <w:t>24.38</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24.38万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%，其中：授予小微企业合同金额</w:t>
      </w:r>
      <w:r>
        <w:rPr>
          <w:rFonts w:hint="default" w:ascii="Times New Roman" w:hAnsi="Times New Roman" w:eastAsia="方正仿宋_GBK" w:cs="Times New Roman"/>
          <w:color w:val="auto"/>
          <w:sz w:val="32"/>
          <w:szCs w:val="32"/>
        </w:rPr>
        <w:t>19.98</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81.96</w:t>
      </w:r>
      <w:r>
        <w:rPr>
          <w:rFonts w:hint="default" w:ascii="Times New Roman" w:hAnsi="Times New Roman" w:eastAsia="方正仿宋_GBK" w:cs="Times New Roman"/>
          <w:color w:val="auto"/>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lang w:val="en-US" w:eastAsia="zh-CN"/>
        </w:rPr>
        <w:t>办公用品、中介委托服务等</w:t>
      </w:r>
      <w:r>
        <w:rPr>
          <w:rFonts w:hint="default" w:ascii="Times New Roman" w:hAnsi="Times New Roman" w:eastAsia="方正仿宋_GBK" w:cs="Times New Roman"/>
          <w:color w:val="auto"/>
          <w:sz w:val="32"/>
          <w:szCs w:val="32"/>
          <w:shd w:val="clear" w:color="auto" w:fill="FFFFFF"/>
          <w:lang w:eastAsia="zh-CN"/>
        </w:rPr>
        <w:t>。</w:t>
      </w:r>
    </w:p>
    <w:p>
      <w:pPr>
        <w:pStyle w:val="8"/>
        <w:keepNext w:val="0"/>
        <w:keepLines w:val="0"/>
        <w:pageBreakBefore w:val="0"/>
        <w:widowControl/>
        <w:suppressLineNumbers w:val="0"/>
        <w:kinsoku/>
        <w:overflowPunct/>
        <w:topLinePunct w:val="0"/>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lang w:val="en-US" w:eastAsia="zh-CN"/>
        </w:rPr>
        <w:t>五、</w:t>
      </w:r>
      <w:r>
        <w:rPr>
          <w:rFonts w:hint="default" w:ascii="Times New Roman" w:hAnsi="Times New Roman" w:eastAsia="方正黑体_GBK" w:cs="Times New Roman"/>
          <w:color w:val="auto"/>
          <w:sz w:val="32"/>
          <w:szCs w:val="32"/>
          <w:shd w:val="clear" w:color="auto" w:fill="FFFFFF"/>
        </w:rPr>
        <w:t>预算绩效管理情况说明</w:t>
      </w:r>
    </w:p>
    <w:p>
      <w:pPr>
        <w:pStyle w:val="8"/>
        <w:keepNext w:val="0"/>
        <w:keepLines w:val="0"/>
        <w:pageBreakBefore w:val="0"/>
        <w:widowControl/>
        <w:suppressLineNumbers w:val="0"/>
        <w:kinsoku/>
        <w:overflowPunct/>
        <w:topLinePunct w:val="0"/>
        <w:autoSpaceDN/>
        <w:bidi w:val="0"/>
        <w:adjustRightInd/>
        <w:snapToGrid/>
        <w:spacing w:before="0" w:beforeAutospacing="0" w:after="0" w:afterAutospacing="0" w:line="600" w:lineRule="exact"/>
        <w:ind w:left="0" w:firstLine="643" w:firstLineChars="200"/>
        <w:jc w:val="left"/>
        <w:textAlignment w:val="auto"/>
        <w:rPr>
          <w:rFonts w:hint="default" w:ascii="Times New Roman" w:hAnsi="Times New Roman" w:eastAsia="方正楷体_GBK" w:cs="Times New Roman"/>
          <w:b/>
          <w:bCs/>
          <w:color w:val="auto"/>
          <w:sz w:val="32"/>
          <w:szCs w:val="32"/>
          <w:shd w:val="clear" w:color="auto" w:fill="FFFFFF"/>
        </w:rPr>
      </w:pPr>
      <w:r>
        <w:rPr>
          <w:rFonts w:hint="default" w:ascii="Times New Roman" w:hAnsi="Times New Roman" w:eastAsia="方正楷体_GBK" w:cs="Times New Roman"/>
          <w:b/>
          <w:bCs/>
          <w:color w:val="auto"/>
          <w:sz w:val="32"/>
          <w:szCs w:val="32"/>
          <w:shd w:val="clear" w:color="auto" w:fill="FFFFFF"/>
        </w:rPr>
        <w:t>（一）</w:t>
      </w:r>
      <w:r>
        <w:rPr>
          <w:rFonts w:hint="eastAsia" w:ascii="Times New Roman" w:hAnsi="Times New Roman" w:eastAsia="方正楷体_GBK" w:cs="Times New Roman"/>
          <w:b/>
          <w:bCs/>
          <w:color w:val="auto"/>
          <w:sz w:val="32"/>
          <w:szCs w:val="32"/>
          <w:shd w:val="clear" w:color="auto" w:fill="FFFFFF"/>
          <w:lang w:eastAsia="zh-CN"/>
        </w:rPr>
        <w:t>部门</w:t>
      </w:r>
      <w:r>
        <w:rPr>
          <w:rFonts w:hint="default" w:ascii="Times New Roman" w:hAnsi="Times New Roman" w:eastAsia="方正楷体_GBK" w:cs="Times New Roman"/>
          <w:b/>
          <w:bCs/>
          <w:color w:val="auto"/>
          <w:sz w:val="32"/>
          <w:szCs w:val="32"/>
          <w:shd w:val="clear" w:color="auto" w:fill="FFFFFF"/>
        </w:rPr>
        <w:t>自评情况</w:t>
      </w:r>
    </w:p>
    <w:p>
      <w:pPr>
        <w:pStyle w:val="8"/>
        <w:keepNext w:val="0"/>
        <w:keepLines w:val="0"/>
        <w:pageBreakBefore w:val="0"/>
        <w:widowControl/>
        <w:suppressLineNumbers w:val="0"/>
        <w:kinsoku/>
        <w:overflowPunct/>
        <w:topLinePunct w:val="0"/>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Times New Roman"/>
          <w:color w:val="auto"/>
          <w:sz w:val="32"/>
          <w:szCs w:val="32"/>
          <w:shd w:val="clear" w:color="auto" w:fill="FFFFFF"/>
          <w:lang w:val="en-US" w:eastAsia="zh-CN"/>
        </w:rPr>
        <w:sectPr>
          <w:footerReference r:id="rId3" w:type="default"/>
          <w:pgSz w:w="11915" w:h="16840"/>
          <w:pgMar w:top="2098" w:right="1474" w:bottom="1474" w:left="1587"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shd w:val="clear" w:color="auto" w:fill="FFFFFF"/>
        </w:rPr>
        <w:t>根据预算绩效管理要求，我单位对</w:t>
      </w:r>
      <w:r>
        <w:rPr>
          <w:rFonts w:hint="default" w:ascii="Times New Roman" w:hAnsi="Times New Roman" w:eastAsia="方正仿宋_GBK" w:cs="Times New Roman"/>
          <w:color w:val="auto"/>
          <w:sz w:val="32"/>
          <w:szCs w:val="32"/>
          <w:shd w:val="clear" w:color="auto" w:fill="FFFFFF"/>
          <w:lang w:val="en-US" w:eastAsia="zh-CN"/>
        </w:rPr>
        <w:t>部门整体23</w:t>
      </w:r>
      <w:r>
        <w:rPr>
          <w:rFonts w:hint="default" w:ascii="Times New Roman" w:hAnsi="Times New Roman" w:eastAsia="方正仿宋_GBK" w:cs="Times New Roman"/>
          <w:color w:val="auto"/>
          <w:sz w:val="32"/>
          <w:szCs w:val="32"/>
          <w:shd w:val="clear" w:color="auto" w:fill="FFFFFF"/>
        </w:rPr>
        <w:t>个</w:t>
      </w:r>
      <w:r>
        <w:rPr>
          <w:rFonts w:hint="eastAsia" w:ascii="Times New Roman" w:hAnsi="Times New Roman" w:eastAsia="方正仿宋_GBK" w:cs="Times New Roman"/>
          <w:color w:val="auto"/>
          <w:sz w:val="32"/>
          <w:szCs w:val="32"/>
          <w:shd w:val="clear" w:color="auto" w:fill="FFFFFF"/>
          <w:lang w:val="en-US" w:eastAsia="zh-CN"/>
        </w:rPr>
        <w:t>二</w:t>
      </w:r>
      <w:r>
        <w:rPr>
          <w:rFonts w:hint="default" w:ascii="Times New Roman" w:hAnsi="Times New Roman" w:eastAsia="方正仿宋_GBK" w:cs="Times New Roman"/>
          <w:color w:val="auto"/>
          <w:sz w:val="32"/>
          <w:szCs w:val="32"/>
          <w:shd w:val="clear" w:color="auto" w:fill="FFFFFF"/>
        </w:rPr>
        <w:t>级项目开展了绩效自评，涉及财政拨款项目支出资金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rPr>
        <w:t>735.26</w:t>
      </w:r>
      <w:r>
        <w:rPr>
          <w:rFonts w:hint="default"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val="en-US" w:eastAsia="zh-CN"/>
        </w:rPr>
        <w:t>。</w:t>
      </w:r>
    </w:p>
    <w:p>
      <w:pPr>
        <w:pStyle w:val="8"/>
        <w:keepNext w:val="0"/>
        <w:keepLines w:val="0"/>
        <w:pageBreakBefore w:val="0"/>
        <w:widowControl/>
        <w:suppressLineNumbers w:val="0"/>
        <w:kinsoku/>
        <w:overflowPunct/>
        <w:topLinePunct w:val="0"/>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Times New Roman"/>
          <w:color w:val="auto"/>
          <w:sz w:val="32"/>
          <w:szCs w:val="32"/>
          <w:shd w:val="clear" w:color="auto" w:fill="FFFFFF"/>
          <w:lang w:val="en-US" w:eastAsia="zh-CN"/>
        </w:rPr>
      </w:pPr>
    </w:p>
    <w:tbl>
      <w:tblPr>
        <w:tblStyle w:val="9"/>
        <w:tblW w:w="1336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9"/>
        <w:gridCol w:w="675"/>
        <w:gridCol w:w="728"/>
        <w:gridCol w:w="1039"/>
        <w:gridCol w:w="986"/>
        <w:gridCol w:w="1222"/>
        <w:gridCol w:w="921"/>
        <w:gridCol w:w="868"/>
        <w:gridCol w:w="1768"/>
        <w:gridCol w:w="1350"/>
        <w:gridCol w:w="1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336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6"/>
                <w:szCs w:val="36"/>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33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巫溪县财政局整体自评</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50023800023P000060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w:t>
            </w:r>
            <w:r>
              <w:rPr>
                <w:rFonts w:hint="eastAsia"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总分：</w:t>
            </w:r>
          </w:p>
        </w:tc>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011-巫溪县财政局</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w:t>
            </w:r>
            <w:r>
              <w:rPr>
                <w:rFonts w:hint="eastAsia" w:cs="宋体"/>
                <w:b/>
                <w:bCs/>
                <w:i w:val="0"/>
                <w:iCs w:val="0"/>
                <w:color w:val="000000"/>
                <w:kern w:val="0"/>
                <w:sz w:val="22"/>
                <w:szCs w:val="22"/>
                <w:u w:val="none"/>
                <w:lang w:val="en-US" w:eastAsia="zh-CN" w:bidi="ar"/>
              </w:rPr>
              <w:t>科</w:t>
            </w:r>
            <w:r>
              <w:rPr>
                <w:rFonts w:hint="eastAsia" w:ascii="宋体" w:hAnsi="宋体" w:eastAsia="宋体" w:cs="宋体"/>
                <w:b/>
                <w:bCs/>
                <w:i w:val="0"/>
                <w:iCs w:val="0"/>
                <w:color w:val="000000"/>
                <w:kern w:val="0"/>
                <w:sz w:val="22"/>
                <w:szCs w:val="22"/>
                <w:u w:val="none"/>
                <w:lang w:val="en-US" w:eastAsia="zh-CN" w:bidi="ar"/>
              </w:rPr>
              <w:t>室：</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w:t>
            </w:r>
            <w:r>
              <w:rPr>
                <w:rFonts w:hint="eastAsia"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系人：</w:t>
            </w:r>
          </w:p>
        </w:tc>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张永乐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19123526506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exact"/>
        </w:trPr>
        <w:tc>
          <w:tcPr>
            <w:tcW w:w="133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4"/>
                <w:szCs w:val="24"/>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3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1793</w:t>
            </w: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 </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2054</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2054</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3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1793</w:t>
            </w: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 </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2054</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2054</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31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7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1793</w:t>
            </w:r>
            <w:r>
              <w:rPr>
                <w:rFonts w:hint="eastAsia"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 </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2054</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 xml:space="preserve"> </w:t>
            </w:r>
          </w:p>
        </w:tc>
        <w:tc>
          <w:tcPr>
            <w:tcW w:w="17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2054</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6</w:t>
            </w:r>
            <w:r>
              <w:rPr>
                <w:rFonts w:hint="eastAsia"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 xml:space="preserve"> </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exact"/>
        </w:trPr>
        <w:tc>
          <w:tcPr>
            <w:tcW w:w="133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4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9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4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1" w:hRule="atLeast"/>
        </w:trPr>
        <w:tc>
          <w:tcPr>
            <w:tcW w:w="47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left"/>
              <w:textAlignment w:val="auto"/>
              <w:rPr>
                <w:rFonts w:hint="eastAsia" w:ascii="宋体" w:hAnsi="宋体" w:eastAsia="宋体" w:cs="宋体"/>
                <w:i w:val="0"/>
                <w:iCs w:val="0"/>
                <w:color w:val="000000"/>
                <w:sz w:val="24"/>
                <w:szCs w:val="24"/>
                <w:u w:val="none"/>
              </w:rPr>
            </w:pPr>
            <w:r>
              <w:rPr>
                <w:rFonts w:hint="eastAsia" w:ascii="方正仿宋_GBK" w:hAnsi="方正仿宋_GBK" w:eastAsia="方正仿宋_GBK" w:cs="方正仿宋_GBK"/>
                <w:i w:val="0"/>
                <w:iCs w:val="0"/>
                <w:caps w:val="0"/>
                <w:color w:val="333333"/>
                <w:spacing w:val="0"/>
                <w:sz w:val="24"/>
                <w:szCs w:val="24"/>
                <w:shd w:val="clear" w:fill="FFFFFF"/>
                <w:lang w:val="en-US" w:eastAsia="zh-CN"/>
              </w:rPr>
              <w:t>确保县级预算收支平衡，严格按照相关国库集中支付制度的要求，加大对预算单位的拨款指导，确保拨付完成率达百分之百。有效控制项目支出，提高财政资金使用效率。有效管控政府债务风险，确保政府债务本息按期足额偿还。有效履行财政部门监管职能，切实提高政府采购透明度。加强国有资产管理，按时编制报送行政事业性国有资产管理情况报告。</w:t>
            </w:r>
          </w:p>
        </w:tc>
        <w:tc>
          <w:tcPr>
            <w:tcW w:w="399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46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jc w:val="left"/>
              <w:textAlignment w:val="auto"/>
              <w:rPr>
                <w:rFonts w:hint="eastAsia" w:ascii="宋体" w:hAnsi="宋体" w:eastAsia="宋体" w:cs="宋体"/>
                <w:i w:val="0"/>
                <w:iCs w:val="0"/>
                <w:color w:val="000000"/>
                <w:sz w:val="24"/>
                <w:szCs w:val="24"/>
                <w:u w:val="none"/>
              </w:rPr>
            </w:pPr>
            <w:r>
              <w:rPr>
                <w:rFonts w:hint="eastAsia" w:ascii="方正仿宋_GBK" w:hAnsi="方正仿宋_GBK" w:eastAsia="方正仿宋_GBK" w:cs="方正仿宋_GBK"/>
                <w:i w:val="0"/>
                <w:iCs w:val="0"/>
                <w:caps w:val="0"/>
                <w:color w:val="333333"/>
                <w:spacing w:val="0"/>
                <w:sz w:val="24"/>
                <w:szCs w:val="24"/>
                <w:shd w:val="clear" w:fill="FFFFFF"/>
                <w:lang w:val="en-US" w:eastAsia="zh-CN"/>
              </w:rPr>
              <w:t>确保县级预算收支平衡，严格按照相关国库集中支付制度的要求，加大对预算单位的拨款指导，确保拨付完成率达百分之百。有效控制项目支出，提高财政资金使用效率。有效管控政府债务风险，确保政府债务本息按期足额偿还。有效履行财政部门监管职能，切实提高政府采购透明度。加强国有资产管理，按时编制报送行政事业性国有资产管理情况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33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 性质</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科目调整次数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“三公经费控制率”=（实际支出数/预算安排数）×100%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预算编制质量=∣（执行数-预算数）/预算数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政府采购项目意向公开率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预决算按时公开率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结余率=结余数/预算数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一级预算单位预算绩效管理工作覆盖率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运转保障率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pPr>
        <w:pStyle w:val="8"/>
        <w:keepNext w:val="0"/>
        <w:keepLines w:val="0"/>
        <w:pageBreakBefore w:val="0"/>
        <w:widowControl/>
        <w:suppressLineNumbers w:val="0"/>
        <w:kinsoku/>
        <w:overflowPunct/>
        <w:topLinePunct w:val="0"/>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color w:val="auto"/>
          <w:sz w:val="32"/>
          <w:szCs w:val="32"/>
          <w:shd w:val="clear" w:color="auto" w:fill="FFFFFF"/>
        </w:rPr>
      </w:pPr>
    </w:p>
    <w:p>
      <w:pPr>
        <w:pStyle w:val="8"/>
        <w:keepNext w:val="0"/>
        <w:keepLines w:val="0"/>
        <w:pageBreakBefore w:val="0"/>
        <w:widowControl/>
        <w:suppressLineNumbers w:val="0"/>
        <w:kinsoku/>
        <w:overflowPunct/>
        <w:topLinePunct w:val="0"/>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color w:val="auto"/>
          <w:sz w:val="32"/>
          <w:szCs w:val="32"/>
          <w:shd w:val="clear" w:color="auto" w:fill="FFFFFF"/>
        </w:rPr>
      </w:pPr>
    </w:p>
    <w:p>
      <w:pPr>
        <w:pStyle w:val="8"/>
        <w:keepNext w:val="0"/>
        <w:keepLines w:val="0"/>
        <w:pageBreakBefore w:val="0"/>
        <w:widowControl/>
        <w:suppressLineNumbers w:val="0"/>
        <w:kinsoku/>
        <w:overflowPunct/>
        <w:topLinePunct w:val="0"/>
        <w:autoSpaceDN/>
        <w:bidi w:val="0"/>
        <w:adjustRightInd/>
        <w:snapToGrid/>
        <w:spacing w:before="0" w:beforeAutospacing="0" w:after="0" w:afterAutospacing="0" w:line="600" w:lineRule="exact"/>
        <w:jc w:val="left"/>
        <w:textAlignment w:val="auto"/>
        <w:rPr>
          <w:rFonts w:hint="default" w:ascii="Times New Roman" w:hAnsi="Times New Roman" w:eastAsia="方正楷体_GBK" w:cs="Times New Roman"/>
          <w:color w:val="auto"/>
          <w:sz w:val="32"/>
          <w:szCs w:val="32"/>
          <w:shd w:val="clear" w:color="auto" w:fill="FFFFFF"/>
        </w:rPr>
      </w:pPr>
    </w:p>
    <w:tbl>
      <w:tblPr>
        <w:tblStyle w:val="9"/>
        <w:tblW w:w="1326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4"/>
        <w:gridCol w:w="1026"/>
        <w:gridCol w:w="1050"/>
        <w:gridCol w:w="1157"/>
        <w:gridCol w:w="975"/>
        <w:gridCol w:w="1629"/>
        <w:gridCol w:w="1125"/>
        <w:gridCol w:w="709"/>
        <w:gridCol w:w="996"/>
        <w:gridCol w:w="1350"/>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exac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6"/>
                <w:szCs w:val="36"/>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关于请求解决历史遗留往来资金缺口的请示</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50023824T000004235115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011-巫溪县财政局</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w:t>
            </w:r>
            <w:r>
              <w:rPr>
                <w:rFonts w:hint="eastAsia" w:cs="宋体"/>
                <w:b/>
                <w:bCs/>
                <w:i w:val="0"/>
                <w:iCs w:val="0"/>
                <w:color w:val="000000"/>
                <w:kern w:val="0"/>
                <w:sz w:val="22"/>
                <w:szCs w:val="22"/>
                <w:u w:val="none"/>
                <w:lang w:val="en-US" w:eastAsia="zh-CN" w:bidi="ar"/>
              </w:rPr>
              <w:t>科</w:t>
            </w:r>
            <w:r>
              <w:rPr>
                <w:rFonts w:hint="eastAsia" w:ascii="宋体" w:hAnsi="宋体" w:eastAsia="宋体" w:cs="宋体"/>
                <w:b/>
                <w:bCs/>
                <w:i w:val="0"/>
                <w:iCs w:val="0"/>
                <w:color w:val="000000"/>
                <w:kern w:val="0"/>
                <w:sz w:val="22"/>
                <w:szCs w:val="22"/>
                <w:u w:val="none"/>
                <w:lang w:val="en-US" w:eastAsia="zh-CN" w:bidi="ar"/>
              </w:rPr>
              <w:t>室：</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张永乐</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19123526506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exac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4"/>
                <w:szCs w:val="24"/>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exact"/>
        </w:trPr>
        <w:tc>
          <w:tcPr>
            <w:tcW w:w="1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5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96.28</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5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96.28</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7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1026"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5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975"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96.28</w:t>
            </w:r>
          </w:p>
        </w:tc>
        <w:tc>
          <w:tcPr>
            <w:tcW w:w="18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96.28</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exac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2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44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380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2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解决历史遗留欠偿资金问题，及时完成欠款清偿。</w:t>
            </w:r>
          </w:p>
        </w:tc>
        <w:tc>
          <w:tcPr>
            <w:tcW w:w="443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解决历史遗留欠偿资金问题，及时完成欠款清偿。</w:t>
            </w:r>
          </w:p>
        </w:tc>
        <w:tc>
          <w:tcPr>
            <w:tcW w:w="380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解决历史遗留欠偿资金问题，及时完成欠款清偿。2023年已完成绩效目标。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exact"/>
        </w:trPr>
        <w:tc>
          <w:tcPr>
            <w:tcW w:w="1326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4"/>
                <w:szCs w:val="24"/>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w:t>
            </w:r>
            <w:r>
              <w:rPr>
                <w:rFonts w:hint="eastAsia" w:cs="宋体"/>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权重</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欠款及时偿还率</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遗留问题</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有效解决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exact"/>
        </w:trPr>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债权人对欠款偿还满意度</w:t>
            </w: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8"/>
        <w:keepNext w:val="0"/>
        <w:keepLines w:val="0"/>
        <w:pageBreakBefore w:val="0"/>
        <w:widowControl/>
        <w:suppressLineNumbers w:val="0"/>
        <w:kinsoku/>
        <w:overflowPunct/>
        <w:topLinePunct w:val="0"/>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color w:val="auto"/>
          <w:sz w:val="32"/>
          <w:szCs w:val="32"/>
          <w:shd w:val="clear" w:color="auto" w:fill="FFFFFF"/>
        </w:rPr>
        <w:sectPr>
          <w:pgSz w:w="16840" w:h="11915" w:orient="landscape"/>
          <w:pgMar w:top="1587" w:right="2098" w:bottom="1474" w:left="1474" w:header="851" w:footer="992" w:gutter="0"/>
          <w:pgNumType w:fmt="numberInDash"/>
          <w:cols w:space="720" w:num="1"/>
          <w:docGrid w:type="lines" w:linePitch="312" w:charSpace="0"/>
        </w:sectPr>
      </w:pPr>
    </w:p>
    <w:p>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pPr>
      <w:r>
        <w:rPr>
          <w:rFonts w:hint="default" w:ascii="Times New Roman" w:hAnsi="Times New Roman" w:eastAsia="方正黑体_GBK" w:cs="Times New Roman"/>
          <w:color w:val="auto"/>
          <w:sz w:val="32"/>
          <w:szCs w:val="32"/>
          <w:shd w:val="clear" w:color="auto" w:fill="FFFFFF"/>
        </w:rPr>
        <w:t> </w:t>
      </w:r>
      <w:r>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t>（二）单位绩效评价情况</w:t>
      </w:r>
    </w:p>
    <w:p>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我单位未组织开展绩效评价</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p>
    <w:p>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pPr>
      <w:r>
        <w:rPr>
          <w:rFonts w:hint="eastAsia" w:ascii="方正楷体_GBK" w:hAnsi="方正楷体_GBK" w:eastAsia="方正楷体_GBK" w:cs="方正楷体_GBK"/>
          <w:b/>
          <w:bCs/>
          <w:color w:val="000000" w:themeColor="text1"/>
          <w:sz w:val="32"/>
          <w:szCs w:val="32"/>
          <w:shd w:val="clear" w:color="auto" w:fill="FFFFFF"/>
          <w14:textFill>
            <w14:solidFill>
              <w14:schemeClr w14:val="tx1"/>
            </w14:solidFill>
          </w14:textFill>
        </w:rPr>
        <w:t>（三）财政绩效评价情况</w:t>
      </w:r>
    </w:p>
    <w:p>
      <w:pPr>
        <w:pStyle w:val="13"/>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黑体_GBK" w:cs="Times New Roman"/>
          <w:color w:val="auto"/>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财政局未委托第三方对我单位开展绩效评价。</w:t>
      </w:r>
    </w:p>
    <w:p>
      <w:pPr>
        <w:pStyle w:val="8"/>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六、专业名词解释</w:t>
      </w:r>
    </w:p>
    <w:p>
      <w:pPr>
        <w:pStyle w:val="8"/>
        <w:keepNext w:val="0"/>
        <w:keepLines w:val="0"/>
        <w:pageBreakBefore w:val="0"/>
        <w:widowControl/>
        <w:suppressLineNumbers w:val="0"/>
        <w:kinsoku/>
        <w:wordWrap/>
        <w:overflowPunct/>
        <w:topLinePunct w:val="0"/>
        <w:autoSpaceDN/>
        <w:bidi w:val="0"/>
        <w:adjustRightInd/>
        <w:snapToGrid/>
        <w:spacing w:before="0" w:beforeAutospacing="0" w:after="0" w:afterAutospacing="0" w:line="600" w:lineRule="exact"/>
        <w:ind w:left="0" w:firstLine="643" w:firstLineChars="200"/>
        <w:jc w:val="left"/>
        <w:textAlignment w:val="auto"/>
        <w:rPr>
          <w:rFonts w:hint="default" w:ascii="Times New Roman" w:hAnsi="Times New Roman" w:eastAsia="方正楷体_GBK" w:cs="Times New Roman"/>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（一）财政拨款收入</w:t>
      </w:r>
      <w:r>
        <w:rPr>
          <w:rFonts w:hint="default" w:ascii="Times New Roman" w:hAnsi="Times New Roman" w:eastAsia="方正楷体_GBK" w:cs="Times New Roman"/>
          <w:b/>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eastAsia" w:ascii="方正楷体_GBK" w:hAnsi="方正楷体_GBK" w:eastAsia="方正楷体_GBK" w:cs="方正楷体_GBK"/>
          <w:b w:val="0"/>
          <w:bCs/>
          <w:color w:val="auto"/>
          <w:sz w:val="32"/>
          <w:szCs w:val="32"/>
          <w:shd w:val="clear" w:color="auto" w:fill="FFFFFF"/>
        </w:rPr>
        <w:t> </w:t>
      </w:r>
      <w:r>
        <w:rPr>
          <w:rStyle w:val="12"/>
          <w:rFonts w:hint="eastAsia" w:ascii="方正楷体_GBK" w:hAnsi="方正楷体_GBK" w:eastAsia="方正楷体_GBK" w:cs="方正楷体_GBK"/>
          <w:b/>
          <w:bCs w:val="0"/>
          <w:color w:val="auto"/>
          <w:sz w:val="32"/>
          <w:szCs w:val="32"/>
          <w:shd w:val="clear" w:color="auto" w:fill="FFFFFF"/>
        </w:rPr>
        <w:t>（二）事业收入</w:t>
      </w:r>
      <w:r>
        <w:rPr>
          <w:rFonts w:hint="eastAsia" w:ascii="方正楷体_GBK" w:hAnsi="方正楷体_GBK" w:eastAsia="方正楷体_GBK" w:cs="方正楷体_GBK"/>
          <w:b/>
          <w:bCs w:val="0"/>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Style w:val="12"/>
          <w:rFonts w:hint="eastAsia" w:ascii="方正楷体_GBK" w:hAnsi="方正楷体_GBK" w:eastAsia="方正楷体_GBK" w:cs="方正楷体_GBK"/>
          <w:b w:val="0"/>
          <w:bCs/>
          <w:color w:val="auto"/>
          <w:sz w:val="32"/>
          <w:szCs w:val="32"/>
          <w:shd w:val="clear" w:color="auto" w:fill="FFFFFF"/>
        </w:rPr>
        <w:t> </w:t>
      </w:r>
      <w:r>
        <w:rPr>
          <w:rStyle w:val="12"/>
          <w:rFonts w:hint="eastAsia" w:ascii="方正楷体_GBK" w:hAnsi="方正楷体_GBK" w:eastAsia="方正楷体_GBK" w:cs="方正楷体_GBK"/>
          <w:b/>
          <w:bCs w:val="0"/>
          <w:color w:val="auto"/>
          <w:sz w:val="32"/>
          <w:szCs w:val="32"/>
          <w:shd w:val="clear" w:color="auto" w:fill="FFFFFF"/>
        </w:rPr>
        <w:t>（三）经营收入</w:t>
      </w:r>
      <w:r>
        <w:rPr>
          <w:rFonts w:hint="eastAsia" w:ascii="方正楷体_GBK" w:hAnsi="方正楷体_GBK" w:eastAsia="方正楷体_GBK" w:cs="方正楷体_GBK"/>
          <w:b/>
          <w:bCs w:val="0"/>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color w:val="auto"/>
          <w:sz w:val="32"/>
          <w:szCs w:val="32"/>
          <w:shd w:val="clear" w:color="auto" w:fill="FFFFFF"/>
        </w:rPr>
        <w:t> （四）其他收入</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2"/>
          <w:rFonts w:hint="default" w:ascii="Times New Roman" w:hAnsi="Times New Roman" w:eastAsia="方正楷体_GBK" w:cs="Times New Roman"/>
          <w:color w:val="auto"/>
          <w:sz w:val="32"/>
          <w:szCs w:val="32"/>
          <w:shd w:val="clear" w:color="auto" w:fill="FFFFFF"/>
        </w:rPr>
        <w:t>（五）使用非财政拨款结余</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支缺口的资金。</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2"/>
          <w:rFonts w:hint="default" w:ascii="Times New Roman" w:hAnsi="Times New Roman" w:eastAsia="方正楷体_GBK" w:cs="Times New Roman"/>
          <w:color w:val="auto"/>
          <w:sz w:val="32"/>
          <w:szCs w:val="32"/>
          <w:shd w:val="clear" w:color="auto" w:fill="FFFFFF"/>
        </w:rPr>
        <w:t> （六）年初结转和结余</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指单位上年结转本年使用的基本</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color w:val="auto"/>
          <w:sz w:val="32"/>
          <w:szCs w:val="32"/>
        </w:rPr>
      </w:pPr>
      <w:r>
        <w:rPr>
          <w:rStyle w:val="12"/>
          <w:rFonts w:hint="default" w:ascii="Times New Roman" w:hAnsi="Times New Roman" w:eastAsia="方正楷体_GBK" w:cs="Times New Roman"/>
          <w:color w:val="auto"/>
          <w:sz w:val="32"/>
          <w:szCs w:val="32"/>
          <w:shd w:val="clear" w:color="auto" w:fill="FFFFFF"/>
        </w:rPr>
        <w:t> （七）结余分配</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color w:val="auto"/>
          <w:sz w:val="32"/>
          <w:szCs w:val="32"/>
          <w:shd w:val="clear" w:color="auto" w:fill="FFFFFF"/>
        </w:rPr>
        <w:t> （八）年末结转和结余</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color w:val="auto"/>
          <w:sz w:val="32"/>
          <w:szCs w:val="32"/>
          <w:shd w:val="clear" w:color="auto" w:fill="FFFFFF"/>
        </w:rPr>
        <w:t> （九）基本支出</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color w:val="auto"/>
          <w:sz w:val="32"/>
          <w:szCs w:val="32"/>
          <w:shd w:val="clear" w:color="auto" w:fill="FFFFFF"/>
        </w:rPr>
        <w:t> （十）项目支出</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color w:val="auto"/>
          <w:sz w:val="32"/>
          <w:szCs w:val="32"/>
          <w:shd w:val="clear" w:color="auto" w:fill="FFFFFF"/>
        </w:rPr>
        <w:t> （十一）经营支出</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2"/>
          <w:rFonts w:hint="default" w:ascii="Times New Roman" w:hAnsi="Times New Roman" w:eastAsia="方正楷体_GBK" w:cs="Times New Roman"/>
          <w:color w:val="auto"/>
          <w:sz w:val="32"/>
          <w:szCs w:val="32"/>
          <w:shd w:val="clear" w:color="auto" w:fill="FFFFFF"/>
        </w:rPr>
        <w:t> （十二）“三公”经费</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修费、过路过桥费、保险费、安全奖励费用等支出；公务接待费</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反映单位按规定开支的各类公务接待（含外宾接待）支出。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color w:val="auto"/>
          <w:sz w:val="32"/>
          <w:szCs w:val="32"/>
          <w:shd w:val="clear" w:color="auto" w:fill="FFFFFF"/>
        </w:rPr>
        <w:t> （十三）机关运行经费</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color w:val="auto"/>
          <w:sz w:val="32"/>
          <w:szCs w:val="32"/>
          <w:shd w:val="clear" w:color="auto" w:fill="FFFFFF"/>
        </w:rPr>
        <w:t> （十四）工资福利支出（支出经济分类科目类级）</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color w:val="auto"/>
          <w:sz w:val="32"/>
          <w:szCs w:val="32"/>
          <w:shd w:val="clear" w:color="auto" w:fill="FFFFFF"/>
        </w:rPr>
        <w:t> （十五）商品和服务支出（支出经济分类科目类级）</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2"/>
          <w:rFonts w:hint="default" w:ascii="Times New Roman" w:hAnsi="Times New Roman" w:eastAsia="方正楷体_GBK" w:cs="Times New Roman"/>
          <w:color w:val="auto"/>
          <w:sz w:val="32"/>
          <w:szCs w:val="32"/>
          <w:shd w:val="clear" w:color="auto" w:fill="FFFFFF"/>
        </w:rPr>
        <w:t> （十六）对个人和家庭的补助（支出经济分类科目类级）</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2"/>
          <w:rFonts w:hint="default" w:ascii="Times New Roman" w:hAnsi="Times New Roman" w:eastAsia="方正楷体_GBK" w:cs="Times New Roman"/>
          <w:color w:val="auto"/>
          <w:sz w:val="32"/>
          <w:szCs w:val="32"/>
          <w:shd w:val="clear" w:color="auto" w:fill="FFFFFF"/>
        </w:rPr>
        <w:t> （十七）其他资本性支出（支出经济分类科目类级）</w:t>
      </w: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七、决算公开联系方式及信息反馈渠道</w:t>
      </w:r>
    </w:p>
    <w:p>
      <w:pPr>
        <w:pStyle w:val="8"/>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张永乐023-51522281</w:t>
      </w:r>
    </w:p>
    <w:p>
      <w:pPr>
        <w:pStyle w:val="13"/>
        <w:keepNext w:val="0"/>
        <w:keepLines w:val="0"/>
        <w:pageBreakBefore w:val="0"/>
        <w:widowControl/>
        <w:kinsoku/>
        <w:wordWrap/>
        <w:overflowPunct/>
        <w:topLinePunct w:val="0"/>
        <w:autoSpaceDE w:val="0"/>
        <w:autoSpaceDN/>
        <w:bidi w:val="0"/>
        <w:adjustRightInd/>
        <w:spacing w:beforeAutospacing="0" w:line="600" w:lineRule="exact"/>
        <w:ind w:firstLine="643" w:firstLineChars="200"/>
        <w:textAlignment w:val="auto"/>
        <w:rPr>
          <w:rStyle w:val="12"/>
          <w:rFonts w:hint="default" w:ascii="Times New Roman" w:hAnsi="Times New Roman" w:eastAsia="方正仿宋_GBK" w:cs="Times New Roman"/>
          <w:color w:val="auto"/>
          <w:sz w:val="32"/>
          <w:szCs w:val="32"/>
          <w:shd w:val="clear" w:color="auto" w:fill="FFFF00"/>
        </w:rPr>
        <w:sectPr>
          <w:pgSz w:w="11915" w:h="16840"/>
          <w:pgMar w:top="2098" w:right="1474" w:bottom="1474" w:left="1587" w:header="851" w:footer="992" w:gutter="0"/>
          <w:pgNumType w:fmt="numberInDash"/>
          <w:cols w:space="720" w:num="1"/>
          <w:docGrid w:type="lines" w:linePitch="312" w:charSpace="0"/>
        </w:sectPr>
      </w:pPr>
    </w:p>
    <w:p>
      <w:pPr>
        <w:rPr>
          <w:rFonts w:hint="default" w:ascii="Times New Roman" w:hAnsi="Times New Roman" w:cs="Times New Roman"/>
          <w:color w:val="auto"/>
          <w:sz w:val="21"/>
          <w:szCs w:val="21"/>
        </w:rPr>
      </w:pPr>
    </w:p>
    <w:tbl>
      <w:tblPr>
        <w:tblStyle w:val="9"/>
        <w:tblW w:w="4775" w:type="pct"/>
        <w:tblInd w:w="0" w:type="dxa"/>
        <w:tblLayout w:type="autofit"/>
        <w:tblCellMar>
          <w:top w:w="0" w:type="dxa"/>
          <w:left w:w="0" w:type="dxa"/>
          <w:bottom w:w="0" w:type="dxa"/>
          <w:right w:w="0" w:type="dxa"/>
        </w:tblCellMar>
      </w:tblPr>
      <w:tblGrid>
        <w:gridCol w:w="5120"/>
        <w:gridCol w:w="2021"/>
        <w:gridCol w:w="4808"/>
        <w:gridCol w:w="2737"/>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CellMar>
            <w:top w:w="0" w:type="dxa"/>
            <w:left w:w="0" w:type="dxa"/>
            <w:bottom w:w="0" w:type="dxa"/>
            <w:right w:w="0" w:type="dxa"/>
          </w:tblCellMar>
        </w:tblPrEx>
        <w:trPr>
          <w:trHeight w:val="232" w:hRule="atLeast"/>
        </w:trPr>
        <w:tc>
          <w:tcPr>
            <w:tcW w:w="174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0"/>
                <w:szCs w:val="20"/>
              </w:rPr>
            </w:pPr>
          </w:p>
        </w:tc>
        <w:tc>
          <w:tcPr>
            <w:tcW w:w="687"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20"/>
                <w:szCs w:val="20"/>
              </w:rPr>
            </w:pPr>
          </w:p>
        </w:tc>
        <w:tc>
          <w:tcPr>
            <w:tcW w:w="163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0"/>
                <w:szCs w:val="20"/>
              </w:rPr>
            </w:pPr>
          </w:p>
        </w:tc>
        <w:tc>
          <w:tcPr>
            <w:tcW w:w="931"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CellMar>
            <w:top w:w="0" w:type="dxa"/>
            <w:left w:w="0" w:type="dxa"/>
            <w:bottom w:w="0" w:type="dxa"/>
            <w:right w:w="0" w:type="dxa"/>
          </w:tblCellMar>
        </w:tblPrEx>
        <w:trPr>
          <w:trHeight w:val="232" w:hRule="atLeast"/>
        </w:trPr>
        <w:tc>
          <w:tcPr>
            <w:tcW w:w="2431"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lang w:val="en-US" w:eastAsia="zh-CN"/>
              </w:rPr>
              <w:t>部门</w:t>
            </w:r>
            <w:r>
              <w:rPr>
                <w:rFonts w:hint="default" w:ascii="Times New Roman" w:hAnsi="Times New Roman" w:cs="Times New Roman"/>
                <w:color w:val="auto"/>
                <w:sz w:val="20"/>
                <w:szCs w:val="20"/>
              </w:rPr>
              <w:t>：</w:t>
            </w:r>
            <w:r>
              <w:rPr>
                <w:rFonts w:hint="default" w:ascii="Times New Roman" w:hAnsi="Times New Roman" w:cs="Times New Roman"/>
                <w:color w:val="auto"/>
                <w:sz w:val="20"/>
                <w:u w:color="auto"/>
              </w:rPr>
              <w:t>重庆市巫溪县财政局</w:t>
            </w:r>
          </w:p>
        </w:tc>
        <w:tc>
          <w:tcPr>
            <w:tcW w:w="163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22"/>
                <w:szCs w:val="22"/>
              </w:rPr>
            </w:pPr>
          </w:p>
        </w:tc>
        <w:tc>
          <w:tcPr>
            <w:tcW w:w="931"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243" w:hRule="atLeast"/>
        </w:trPr>
        <w:tc>
          <w:tcPr>
            <w:tcW w:w="243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2568"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68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93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2,054.67</w:t>
            </w: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1,619.31</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687"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298.14</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46.17</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91.04</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2,054.67</w:t>
            </w: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2,054.67</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9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4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6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93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253" w:hRule="atLeast"/>
        </w:trPr>
        <w:tc>
          <w:tcPr>
            <w:tcW w:w="1743"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6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2,054.67</w:t>
            </w:r>
            <w:r>
              <w:rPr>
                <w:rFonts w:hint="default" w:ascii="Times New Roman" w:hAnsi="Times New Roman" w:cs="Times New Roman"/>
                <w:color w:val="auto"/>
                <w:sz w:val="20"/>
                <w:u w:color="auto"/>
              </w:rPr>
              <w:t xml:space="preserve"> </w:t>
            </w:r>
          </w:p>
        </w:tc>
        <w:tc>
          <w:tcPr>
            <w:tcW w:w="1637"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9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2,054.67</w:t>
            </w:r>
            <w:r>
              <w:rPr>
                <w:rFonts w:hint="default" w:ascii="Times New Roman" w:hAnsi="Times New Roman" w:cs="Times New Roman"/>
                <w:color w:val="auto"/>
                <w:sz w:val="20"/>
                <w:u w:color="auto"/>
              </w:rPr>
              <w:t xml:space="preserve"> </w:t>
            </w:r>
          </w:p>
        </w:tc>
      </w:tr>
    </w:tbl>
    <w:p>
      <w:pPr>
        <w:spacing w:line="240" w:lineRule="exact"/>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备注：1.本表反映单位本年度的总收支和年末结转结余情况。</w:t>
      </w:r>
    </w:p>
    <w:p>
      <w:pPr>
        <w:spacing w:line="240" w:lineRule="exact"/>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 xml:space="preserve">      2.本套报表金额单位转换时可能存在尾数误差。</w:t>
      </w:r>
    </w:p>
    <w:p>
      <w:pPr>
        <w:pStyle w:val="2"/>
        <w:rPr>
          <w:rFonts w:hint="eastAsia"/>
          <w:lang w:eastAsia="zh-CN"/>
        </w:rPr>
      </w:pPr>
    </w:p>
    <w:p>
      <w:pPr>
        <w:pStyle w:val="2"/>
        <w:rPr>
          <w:rFonts w:hint="eastAsia"/>
          <w:lang w:eastAsia="zh-CN"/>
        </w:rPr>
      </w:pPr>
    </w:p>
    <w:tbl>
      <w:tblPr>
        <w:tblStyle w:val="9"/>
        <w:tblW w:w="4775"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053"/>
        <w:gridCol w:w="1007"/>
        <w:gridCol w:w="1457"/>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CellMar>
            <w:top w:w="0" w:type="dxa"/>
            <w:left w:w="0" w:type="dxa"/>
            <w:bottom w:w="0" w:type="dxa"/>
            <w:right w:w="0" w:type="dxa"/>
          </w:tblCellMar>
        </w:tblPrEx>
        <w:trPr>
          <w:trHeight w:val="328" w:hRule="atLeast"/>
        </w:trPr>
        <w:tc>
          <w:tcPr>
            <w:tcW w:w="207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lang w:val="en-US" w:eastAsia="zh-CN"/>
              </w:rPr>
              <w:t>部门</w:t>
            </w:r>
            <w:r>
              <w:rPr>
                <w:rFonts w:hint="default" w:ascii="Times New Roman" w:hAnsi="Times New Roman" w:cs="Times New Roman"/>
                <w:color w:val="auto"/>
                <w:sz w:val="20"/>
                <w:szCs w:val="20"/>
              </w:rPr>
              <w:t>：</w:t>
            </w:r>
            <w:r>
              <w:rPr>
                <w:rFonts w:hint="default" w:ascii="Times New Roman" w:hAnsi="Times New Roman" w:cs="Times New Roman"/>
                <w:color w:val="auto"/>
                <w:sz w:val="20"/>
                <w:u w:color="auto"/>
              </w:rPr>
              <w:t>重庆市巫溪县财政局</w:t>
            </w: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35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34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9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CellMar>
            <w:top w:w="0" w:type="dxa"/>
            <w:left w:w="0" w:type="dxa"/>
            <w:bottom w:w="0" w:type="dxa"/>
            <w:right w:w="0" w:type="dxa"/>
          </w:tblCellMar>
        </w:tblPrEx>
        <w:trPr>
          <w:trHeight w:val="328" w:hRule="atLeast"/>
        </w:trPr>
        <w:tc>
          <w:tcPr>
            <w:tcW w:w="207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1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35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34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9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431" w:hRule="atLeast"/>
        </w:trPr>
        <w:tc>
          <w:tcPr>
            <w:tcW w:w="1658"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CellMar>
            <w:top w:w="0" w:type="dxa"/>
            <w:left w:w="0" w:type="dxa"/>
            <w:bottom w:w="0" w:type="dxa"/>
            <w:right w:w="0" w:type="dxa"/>
          </w:tblCellMar>
        </w:tblPrEx>
        <w:trPr>
          <w:trHeight w:val="334" w:hRule="atLeast"/>
        </w:trPr>
        <w:tc>
          <w:tcPr>
            <w:tcW w:w="57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79"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3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7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7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4" w:hRule="atLeast"/>
        </w:trPr>
        <w:tc>
          <w:tcPr>
            <w:tcW w:w="57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7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165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2,054.67</w:t>
            </w:r>
            <w:r>
              <w:rPr>
                <w:rFonts w:hint="default" w:ascii="Times New Roman" w:hAnsi="Times New Roman" w:cs="Times New Roman"/>
                <w:b/>
                <w:color w:val="auto"/>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2,054.67</w:t>
            </w:r>
            <w:r>
              <w:rPr>
                <w:rFonts w:hint="default" w:ascii="Times New Roman" w:hAnsi="Times New Roman" w:cs="Times New Roman"/>
                <w:b/>
                <w:color w:val="auto"/>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3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3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1,619.31</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1,619.31</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财政事务</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1,619.31</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1,619.31</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870.35</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870.35</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预算改革业务</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265.00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265.00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财政国库业务</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财政监察</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81.98</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81.98</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信息化建设</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220.00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220.00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财政委托业务支出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17.00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13.70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13.70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2010699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其他财政事务支出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126.28</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126.28</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78.90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78.90</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事业单位离退休</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2.36</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2.36</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138.98</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138.98</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77.89</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77.89</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45.49</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45.49</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0.68</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0.68</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48" w:hRule="atLeast"/>
        </w:trPr>
        <w:tc>
          <w:tcPr>
            <w:tcW w:w="57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91.04</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91.04</w:t>
            </w: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ind w:left="600" w:hanging="600" w:hangingChars="300"/>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备注：1.本表反映单位本年度取得的各项收入情况。</w:t>
      </w:r>
    </w:p>
    <w:p>
      <w:pPr>
        <w:ind w:left="600" w:hanging="600" w:hangingChars="300"/>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2.本套报表金额单位转换时可能存在尾数误差。</w:t>
      </w:r>
    </w:p>
    <w:p>
      <w:pPr>
        <w:pStyle w:val="2"/>
        <w:rPr>
          <w:rFonts w:hint="eastAsia"/>
          <w:lang w:eastAsia="zh-CN"/>
        </w:rPr>
      </w:pPr>
    </w:p>
    <w:p>
      <w:pPr>
        <w:pStyle w:val="2"/>
        <w:rPr>
          <w:rFonts w:hint="eastAsia"/>
          <w:lang w:eastAsia="zh-CN"/>
        </w:rPr>
      </w:pPr>
    </w:p>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9"/>
        <w:tblW w:w="4702" w:type="pct"/>
        <w:tblInd w:w="0" w:type="dxa"/>
        <w:tblLayout w:type="autofit"/>
        <w:tblCellMar>
          <w:top w:w="0" w:type="dxa"/>
          <w:left w:w="0" w:type="dxa"/>
          <w:bottom w:w="0" w:type="dxa"/>
          <w:right w:w="0" w:type="dxa"/>
        </w:tblCellMar>
      </w:tblPr>
      <w:tblGrid>
        <w:gridCol w:w="1795"/>
        <w:gridCol w:w="3355"/>
        <w:gridCol w:w="1701"/>
        <w:gridCol w:w="1701"/>
        <w:gridCol w:w="1701"/>
        <w:gridCol w:w="1680"/>
        <w:gridCol w:w="995"/>
        <w:gridCol w:w="153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CellMar>
            <w:top w:w="0" w:type="dxa"/>
            <w:left w:w="0" w:type="dxa"/>
            <w:bottom w:w="0" w:type="dxa"/>
            <w:right w:w="0" w:type="dxa"/>
          </w:tblCellMar>
        </w:tblPrEx>
        <w:trPr>
          <w:trHeight w:val="342" w:hRule="atLeast"/>
        </w:trPr>
        <w:tc>
          <w:tcPr>
            <w:tcW w:w="2369"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lang w:val="en-US" w:eastAsia="zh-CN"/>
              </w:rPr>
              <w:t>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重庆市巫溪县财政局</w:t>
            </w:r>
          </w:p>
        </w:tc>
        <w:tc>
          <w:tcPr>
            <w:tcW w:w="58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8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8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3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CellMar>
            <w:top w:w="0" w:type="dxa"/>
            <w:left w:w="0" w:type="dxa"/>
            <w:bottom w:w="0" w:type="dxa"/>
            <w:right w:w="0" w:type="dxa"/>
          </w:tblCellMar>
        </w:tblPrEx>
        <w:trPr>
          <w:trHeight w:val="342" w:hRule="atLeast"/>
        </w:trPr>
        <w:tc>
          <w:tcPr>
            <w:tcW w:w="236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8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8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8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3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62" w:hRule="atLeast"/>
        </w:trPr>
        <w:tc>
          <w:tcPr>
            <w:tcW w:w="1781"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8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8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3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621"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159"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62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5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62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5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8" w:hRule="atLeast"/>
        </w:trPr>
        <w:tc>
          <w:tcPr>
            <w:tcW w:w="62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5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62" w:hRule="atLeast"/>
        </w:trPr>
        <w:tc>
          <w:tcPr>
            <w:tcW w:w="178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2,054.67</w:t>
            </w:r>
            <w:r>
              <w:rPr>
                <w:rFonts w:hint="default" w:ascii="Times New Roman" w:hAnsi="Times New Roman" w:cs="Times New Roman"/>
                <w:b/>
                <w:color w:val="auto"/>
                <w:sz w:val="20"/>
                <w:u w:color="auto"/>
              </w:rPr>
              <w:t xml:space="preserve"> </w:t>
            </w:r>
          </w:p>
        </w:tc>
        <w:tc>
          <w:tcPr>
            <w:tcW w:w="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1,319.40</w:t>
            </w:r>
            <w:r>
              <w:rPr>
                <w:rFonts w:hint="default" w:ascii="Times New Roman" w:hAnsi="Times New Roman" w:cs="Times New Roman"/>
                <w:b/>
                <w:color w:val="auto"/>
                <w:sz w:val="20"/>
                <w:u w:color="auto"/>
              </w:rPr>
              <w:t xml:space="preserve"> </w:t>
            </w:r>
          </w:p>
        </w:tc>
        <w:tc>
          <w:tcPr>
            <w:tcW w:w="5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735.26</w:t>
            </w:r>
            <w:r>
              <w:rPr>
                <w:rFonts w:hint="default" w:ascii="Times New Roman" w:hAnsi="Times New Roman" w:cs="Times New Roman"/>
                <w:b/>
                <w:color w:val="auto"/>
                <w:sz w:val="20"/>
                <w:u w:color="auto"/>
              </w:rPr>
              <w:t xml:space="preserve"> </w:t>
            </w:r>
          </w:p>
        </w:tc>
        <w:tc>
          <w:tcPr>
            <w:tcW w:w="5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3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1,619.31</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884.05</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735.26</w:t>
            </w:r>
            <w:r>
              <w:rPr>
                <w:rFonts w:hint="default" w:ascii="Times New Roman" w:hAnsi="Times New Roman" w:cs="Times New Roman"/>
                <w:b/>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财政事务</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1,619.31</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884.05</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735.26</w:t>
            </w:r>
            <w:r>
              <w:rPr>
                <w:rFonts w:hint="default" w:ascii="Times New Roman" w:hAnsi="Times New Roman" w:cs="Times New Roman"/>
                <w:b/>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870.35</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870.35</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2010604</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预算改革业务</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265.00</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265.00</w:t>
            </w: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财政国库业务</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25.00</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25.00</w:t>
            </w: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财政监察</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81.98</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81.98</w:t>
            </w: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2010607</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信息化建设</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220.00</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220.00</w:t>
            </w: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财政委托业务支出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17.00</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17.00</w:t>
            </w: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2010650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13.70</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13.70</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2010699</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其他财政事务支出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126.28</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126.28</w:t>
            </w: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78.90</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78.90</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事业单位离退休</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2.36</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2.36</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138.98</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138.98</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77.89</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77.89</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45.49</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45.49</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0.68</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0.68</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82" w:hRule="atLeast"/>
        </w:trPr>
        <w:tc>
          <w:tcPr>
            <w:tcW w:w="6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1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91.04</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91.04</w:t>
            </w:r>
            <w:r>
              <w:rPr>
                <w:rFonts w:hint="default" w:ascii="Times New Roman" w:hAnsi="Times New Roman" w:cs="Times New Roman"/>
                <w:color w:val="auto"/>
                <w:sz w:val="20"/>
                <w:u w:color="auto"/>
              </w:rPr>
              <w:t xml:space="preserve"> </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备注：1.本表反映单位本年度各项支出情况。</w:t>
      </w:r>
    </w:p>
    <w:p>
      <w:pP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 xml:space="preserve">      2.本套报表金额单位转换时可能存在尾数误差。</w:t>
      </w:r>
    </w:p>
    <w:p>
      <w:pPr>
        <w:pStyle w:val="2"/>
        <w:rPr>
          <w:rFonts w:hint="eastAsia"/>
          <w:lang w:eastAsia="zh-CN"/>
        </w:rPr>
      </w:pPr>
    </w:p>
    <w:p>
      <w:pPr>
        <w:pStyle w:val="2"/>
        <w:rPr>
          <w:rFonts w:hint="eastAsia"/>
          <w:lang w:eastAsia="zh-CN"/>
        </w:rPr>
      </w:pP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rPr>
          <w:rFonts w:hint="default" w:ascii="Times New Roman" w:hAnsi="Times New Roman" w:cs="Times New Roman"/>
          <w:color w:val="auto"/>
          <w:sz w:val="21"/>
          <w:szCs w:val="21"/>
        </w:rPr>
      </w:pPr>
    </w:p>
    <w:tbl>
      <w:tblPr>
        <w:tblStyle w:val="9"/>
        <w:tblW w:w="4608" w:type="pct"/>
        <w:tblInd w:w="0" w:type="dxa"/>
        <w:tblLayout w:type="autofit"/>
        <w:tblCellMar>
          <w:top w:w="0" w:type="dxa"/>
          <w:left w:w="0" w:type="dxa"/>
          <w:bottom w:w="0" w:type="dxa"/>
          <w:right w:w="0" w:type="dxa"/>
        </w:tblCellMar>
      </w:tblPr>
      <w:tblGrid>
        <w:gridCol w:w="2975"/>
        <w:gridCol w:w="1528"/>
        <w:gridCol w:w="3189"/>
        <w:gridCol w:w="1698"/>
        <w:gridCol w:w="1698"/>
        <w:gridCol w:w="1698"/>
        <w:gridCol w:w="1386"/>
      </w:tblGrid>
      <w:tr>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2714"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lang w:val="en-US" w:eastAsia="zh-CN"/>
              </w:rPr>
              <w:t>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重庆市巫溪县财政局</w:t>
            </w: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486"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CellMar>
            <w:top w:w="0" w:type="dxa"/>
            <w:left w:w="0" w:type="dxa"/>
            <w:bottom w:w="0" w:type="dxa"/>
            <w:right w:w="0" w:type="dxa"/>
          </w:tblCellMar>
        </w:tblPrEx>
        <w:trPr>
          <w:trHeight w:val="90" w:hRule="atLeast"/>
        </w:trPr>
        <w:tc>
          <w:tcPr>
            <w:tcW w:w="2714"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48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90" w:hRule="atLeast"/>
        </w:trPr>
        <w:tc>
          <w:tcPr>
            <w:tcW w:w="158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341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CellMar>
            <w:top w:w="0" w:type="dxa"/>
            <w:left w:w="0" w:type="dxa"/>
            <w:bottom w:w="0" w:type="dxa"/>
            <w:right w:w="0" w:type="dxa"/>
          </w:tblCellMar>
        </w:tblPrEx>
        <w:trPr>
          <w:trHeight w:val="90" w:hRule="atLeast"/>
        </w:trPr>
        <w:tc>
          <w:tcPr>
            <w:tcW w:w="105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112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2285"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CellMar>
            <w:top w:w="0" w:type="dxa"/>
            <w:left w:w="0" w:type="dxa"/>
            <w:bottom w:w="0" w:type="dxa"/>
            <w:right w:w="0" w:type="dxa"/>
          </w:tblCellMar>
        </w:tblPrEx>
        <w:trPr>
          <w:trHeight w:val="90" w:hRule="atLeast"/>
        </w:trPr>
        <w:tc>
          <w:tcPr>
            <w:tcW w:w="105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12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59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59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48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2,054.67</w:t>
            </w:r>
            <w:r>
              <w:rPr>
                <w:rFonts w:hint="default" w:ascii="Times New Roman" w:hAnsi="Times New Roman" w:cs="Times New Roman"/>
                <w:color w:val="auto"/>
                <w:sz w:val="18"/>
                <w:u w:color="auto"/>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1,619.31</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1,619.31</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298.14</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298.14</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46.17</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46.17</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91.04</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91.04</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2,054.67</w:t>
            </w:r>
            <w:r>
              <w:rPr>
                <w:rFonts w:hint="default" w:ascii="Times New Roman" w:hAnsi="Times New Roman" w:cs="Times New Roman"/>
                <w:color w:val="auto"/>
                <w:sz w:val="18"/>
                <w:u w:color="auto"/>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2,054.67</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2,054.67</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05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2,054.67</w:t>
            </w:r>
            <w:r>
              <w:rPr>
                <w:rFonts w:hint="default" w:ascii="Times New Roman" w:hAnsi="Times New Roman" w:cs="Times New Roman"/>
                <w:color w:val="auto"/>
                <w:sz w:val="18"/>
                <w:u w:color="auto"/>
              </w:rPr>
              <w:t xml:space="preserve"> </w:t>
            </w:r>
          </w:p>
        </w:tc>
        <w:tc>
          <w:tcPr>
            <w:tcW w:w="112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2,054.67</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2,054.67</w:t>
            </w:r>
            <w:r>
              <w:rPr>
                <w:rFonts w:hint="default" w:ascii="Times New Roman" w:hAnsi="Times New Roman" w:cs="Times New Roman"/>
                <w:color w:val="auto"/>
                <w:sz w:val="18"/>
                <w:u w:color="auto"/>
              </w:rPr>
              <w:t xml:space="preserve"> </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spacing w:line="240" w:lineRule="exact"/>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p>
    <w:p>
      <w:pPr>
        <w:spacing w:line="240" w:lineRule="exact"/>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 xml:space="preserve">      2.本套报表金额单位转换时可能存在尾数误差。</w:t>
      </w:r>
    </w:p>
    <w:p>
      <w:pPr>
        <w:pStyle w:val="2"/>
        <w:rPr>
          <w:rFonts w:hint="eastAsia"/>
          <w:lang w:eastAsia="zh-CN"/>
        </w:rPr>
      </w:pPr>
    </w:p>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1"/>
          <w:szCs w:val="21"/>
        </w:rPr>
        <w:br w:type="page"/>
      </w:r>
    </w:p>
    <w:tbl>
      <w:tblPr>
        <w:tblStyle w:val="9"/>
        <w:tblW w:w="4688" w:type="pct"/>
        <w:tblInd w:w="0" w:type="dxa"/>
        <w:tblLayout w:type="autofit"/>
        <w:tblCellMar>
          <w:top w:w="0" w:type="dxa"/>
          <w:left w:w="0" w:type="dxa"/>
          <w:bottom w:w="0" w:type="dxa"/>
          <w:right w:w="0" w:type="dxa"/>
        </w:tblCellMar>
      </w:tblPr>
      <w:tblGrid>
        <w:gridCol w:w="1854"/>
        <w:gridCol w:w="3550"/>
        <w:gridCol w:w="3319"/>
        <w:gridCol w:w="3316"/>
        <w:gridCol w:w="237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302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lang w:val="en-US" w:eastAsia="zh-CN"/>
              </w:rPr>
              <w:t>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重庆市巫溪县财政局</w:t>
            </w:r>
          </w:p>
        </w:tc>
        <w:tc>
          <w:tcPr>
            <w:tcW w:w="115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82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CellMar>
            <w:top w:w="0" w:type="dxa"/>
            <w:left w:w="0" w:type="dxa"/>
            <w:bottom w:w="0" w:type="dxa"/>
            <w:right w:w="0" w:type="dxa"/>
          </w:tblCellMar>
        </w:tblPrEx>
        <w:trPr>
          <w:trHeight w:val="285" w:hRule="atLeast"/>
        </w:trPr>
        <w:tc>
          <w:tcPr>
            <w:tcW w:w="302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15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82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08" w:hRule="atLeast"/>
        </w:trPr>
        <w:tc>
          <w:tcPr>
            <w:tcW w:w="1874"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125"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26" w:hRule="atLeast"/>
        </w:trPr>
        <w:tc>
          <w:tcPr>
            <w:tcW w:w="64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2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15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5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82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26" w:hRule="atLeast"/>
        </w:trPr>
        <w:tc>
          <w:tcPr>
            <w:tcW w:w="64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5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5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82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5" w:hRule="atLeast"/>
        </w:trPr>
        <w:tc>
          <w:tcPr>
            <w:tcW w:w="64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5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15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82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08" w:hRule="atLeast"/>
        </w:trPr>
        <w:tc>
          <w:tcPr>
            <w:tcW w:w="1874"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2,054.67</w:t>
            </w:r>
            <w:r>
              <w:rPr>
                <w:rFonts w:hint="default" w:ascii="Times New Roman" w:hAnsi="Times New Roman" w:cs="Times New Roman"/>
                <w:b/>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1,319.40</w:t>
            </w:r>
            <w:r>
              <w:rPr>
                <w:rFonts w:hint="default" w:ascii="Times New Roman" w:hAnsi="Times New Roman" w:cs="Times New Roman"/>
                <w:b/>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735.26</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一般公共服务支出</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1,619.31</w:t>
            </w:r>
            <w:r>
              <w:rPr>
                <w:rFonts w:hint="default" w:ascii="Times New Roman" w:hAnsi="Times New Roman" w:cs="Times New Roman"/>
                <w:b/>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884.05</w:t>
            </w:r>
            <w:r>
              <w:rPr>
                <w:rFonts w:hint="default" w:ascii="Times New Roman" w:hAnsi="Times New Roman" w:cs="Times New Roman"/>
                <w:b/>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735.26</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20106</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财政事务</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1,619.31</w:t>
            </w:r>
            <w:r>
              <w:rPr>
                <w:rFonts w:hint="default" w:ascii="Times New Roman" w:hAnsi="Times New Roman" w:cs="Times New Roman"/>
                <w:b/>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884.05</w:t>
            </w:r>
            <w:r>
              <w:rPr>
                <w:rFonts w:hint="default" w:ascii="Times New Roman" w:hAnsi="Times New Roman" w:cs="Times New Roman"/>
                <w:b/>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735.26</w:t>
            </w:r>
            <w:r>
              <w:rPr>
                <w:rFonts w:hint="default" w:ascii="Times New Roman" w:hAnsi="Times New Roman" w:cs="Times New Roman"/>
                <w:b/>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2010601</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行政运行</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870.35</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870.35</w:t>
            </w: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2010604</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预算改革业务</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265.00</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265.00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2010605</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财政国库业务</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25.00</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25.00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2010606</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财政监察</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81.98</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81.98</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2010607</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信息化建设</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220.00</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220.00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2010608</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财政委托业务支出</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17.00</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17.00</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2010650</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13.70</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13.70</w:t>
            </w: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2010699</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其他财政事务支出</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126.28</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126.28</w:t>
            </w: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298.14</w:t>
            </w:r>
            <w:r>
              <w:rPr>
                <w:rFonts w:hint="default" w:ascii="Times New Roman" w:hAnsi="Times New Roman" w:cs="Times New Roman"/>
                <w:b/>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2080501</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行政单位离退休</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78.90</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78.90</w:t>
            </w: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2080502</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事业单位离退休</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2.36</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2.36</w:t>
            </w: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138.98</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138.98</w:t>
            </w: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77.89</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77.89</w:t>
            </w: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46.17</w:t>
            </w:r>
            <w:r>
              <w:rPr>
                <w:rFonts w:hint="default" w:ascii="Times New Roman" w:hAnsi="Times New Roman" w:cs="Times New Roman"/>
                <w:b/>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2101101</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行政单位医疗</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45.49</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45.49</w:t>
            </w: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0.68</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0.68</w:t>
            </w: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91.04</w:t>
            </w:r>
            <w:r>
              <w:rPr>
                <w:rFonts w:hint="default" w:ascii="Times New Roman" w:hAnsi="Times New Roman" w:cs="Times New Roman"/>
                <w:b/>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CellMar>
            <w:top w:w="0" w:type="dxa"/>
            <w:left w:w="0" w:type="dxa"/>
            <w:bottom w:w="0" w:type="dxa"/>
            <w:right w:w="0" w:type="dxa"/>
          </w:tblCellMar>
        </w:tblPrEx>
        <w:trPr>
          <w:trHeight w:val="308" w:hRule="atLeast"/>
        </w:trPr>
        <w:tc>
          <w:tcPr>
            <w:tcW w:w="64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12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91.04</w:t>
            </w:r>
            <w:r>
              <w:rPr>
                <w:rFonts w:hint="default" w:ascii="Times New Roman" w:hAnsi="Times New Roman" w:cs="Times New Roman"/>
                <w:color w:val="auto"/>
                <w:sz w:val="20"/>
                <w:u w:color="auto"/>
              </w:rPr>
              <w:t xml:space="preserve"> </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91.04</w:t>
            </w:r>
            <w:r>
              <w:rPr>
                <w:rFonts w:hint="default" w:ascii="Times New Roman" w:hAnsi="Times New Roman" w:cs="Times New Roman"/>
                <w:color w:val="auto"/>
                <w:sz w:val="20"/>
                <w:u w:color="auto"/>
              </w:rPr>
              <w:t xml:space="preserve"> </w:t>
            </w:r>
          </w:p>
        </w:tc>
        <w:tc>
          <w:tcPr>
            <w:tcW w:w="82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备注：1.本表反映单位本年度一般公共预算财政拨款支出情况。</w:t>
      </w:r>
    </w:p>
    <w:p>
      <w:pP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 xml:space="preserve">      2.本套报表金额单位转换时可能存在尾数误差。</w:t>
      </w:r>
    </w:p>
    <w:p>
      <w:pPr>
        <w:pStyle w:val="2"/>
        <w:rPr>
          <w:rFonts w:hint="eastAsia"/>
          <w:lang w:eastAsia="zh-CN"/>
        </w:rPr>
      </w:pPr>
    </w:p>
    <w:p>
      <w:pPr>
        <w:pStyle w:val="2"/>
        <w:rPr>
          <w:rFonts w:hint="eastAsia"/>
          <w:lang w:eastAsia="zh-CN"/>
        </w:rPr>
      </w:pPr>
    </w:p>
    <w:p>
      <w:pPr>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9"/>
        <w:tblW w:w="4723" w:type="pct"/>
        <w:tblInd w:w="0" w:type="dxa"/>
        <w:tblLayout w:type="fixed"/>
        <w:tblCellMar>
          <w:top w:w="0" w:type="dxa"/>
          <w:left w:w="0" w:type="dxa"/>
          <w:bottom w:w="0" w:type="dxa"/>
          <w:right w:w="0" w:type="dxa"/>
        </w:tblCellMar>
      </w:tblPr>
      <w:tblGrid>
        <w:gridCol w:w="605"/>
        <w:gridCol w:w="2740"/>
        <w:gridCol w:w="1154"/>
        <w:gridCol w:w="1058"/>
        <w:gridCol w:w="1923"/>
        <w:gridCol w:w="1401"/>
        <w:gridCol w:w="1063"/>
        <w:gridCol w:w="3373"/>
        <w:gridCol w:w="1211"/>
      </w:tblGrid>
      <w:tr>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912"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lang w:val="en-US" w:eastAsia="zh-CN"/>
              </w:rPr>
              <w:t>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重庆市巫溪县财政局</w:t>
            </w:r>
          </w:p>
        </w:tc>
        <w:tc>
          <w:tcPr>
            <w:tcW w:w="66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48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6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CellMar>
            <w:top w:w="0" w:type="dxa"/>
            <w:left w:w="0" w:type="dxa"/>
            <w:bottom w:w="0" w:type="dxa"/>
            <w:right w:w="0" w:type="dxa"/>
          </w:tblCellMar>
        </w:tblPrEx>
        <w:trPr>
          <w:trHeight w:val="90" w:hRule="atLeast"/>
        </w:trPr>
        <w:tc>
          <w:tcPr>
            <w:tcW w:w="1912"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66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48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6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1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4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90" w:hRule="atLeast"/>
        </w:trPr>
        <w:tc>
          <w:tcPr>
            <w:tcW w:w="1548"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345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CellMar>
            <w:top w:w="0" w:type="dxa"/>
            <w:left w:w="0" w:type="dxa"/>
            <w:bottom w:w="0" w:type="dxa"/>
            <w:right w:w="0" w:type="dxa"/>
          </w:tblCellMar>
        </w:tblPrEx>
        <w:trPr>
          <w:trHeight w:val="312" w:hRule="atLeast"/>
        </w:trPr>
        <w:tc>
          <w:tcPr>
            <w:tcW w:w="20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94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39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36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66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48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36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1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4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CellMar>
            <w:top w:w="0" w:type="dxa"/>
            <w:left w:w="0" w:type="dxa"/>
            <w:bottom w:w="0" w:type="dxa"/>
            <w:right w:w="0" w:type="dxa"/>
          </w:tblCellMar>
        </w:tblPrEx>
        <w:trPr>
          <w:trHeight w:val="312" w:hRule="atLeast"/>
        </w:trPr>
        <w:tc>
          <w:tcPr>
            <w:tcW w:w="20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94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39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36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66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48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3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1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4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r>
      <w:tr>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1,048.40</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189.03</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259.23</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16.92</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185.12</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3.89</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244.57</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3.09</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0.45</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138.98</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17.52</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77.89</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12.80</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46.17</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10.00</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1.34</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32.93</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92.00</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81.98</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73.48</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6.20</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2.70</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5.80</w:t>
            </w: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8.59</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6.38</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12.00</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47.64</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13.70</w:t>
            </w: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20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94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6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6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1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CellMar>
            <w:top w:w="0" w:type="dxa"/>
            <w:left w:w="0" w:type="dxa"/>
            <w:bottom w:w="0" w:type="dxa"/>
            <w:right w:w="0" w:type="dxa"/>
          </w:tblCellMar>
        </w:tblPrEx>
        <w:trPr>
          <w:trHeight w:val="90" w:hRule="atLeast"/>
        </w:trPr>
        <w:tc>
          <w:tcPr>
            <w:tcW w:w="1151"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3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1,130.38</w:t>
            </w:r>
            <w:r>
              <w:rPr>
                <w:rFonts w:hint="default" w:ascii="Times New Roman" w:hAnsi="Times New Roman" w:cs="Times New Roman"/>
                <w:color w:val="auto"/>
                <w:sz w:val="18"/>
                <w:u w:color="auto"/>
              </w:rPr>
              <w:t xml:space="preserve"> </w:t>
            </w:r>
          </w:p>
        </w:tc>
        <w:tc>
          <w:tcPr>
            <w:tcW w:w="3034"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189.03</w:t>
            </w:r>
            <w:r>
              <w:rPr>
                <w:rFonts w:hint="default" w:ascii="Times New Roman" w:hAnsi="Times New Roman" w:cs="Times New Roman"/>
                <w:color w:val="auto"/>
                <w:sz w:val="18"/>
                <w:u w:color="auto"/>
              </w:rPr>
              <w:t xml:space="preserve"> </w:t>
            </w:r>
          </w:p>
        </w:tc>
      </w:tr>
    </w:tbl>
    <w:p>
      <w:pPr>
        <w:spacing w:line="280" w:lineRule="exact"/>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备注：1.本表反映单位本年度一般公共预算财政拨款基本支出明细情况。</w:t>
      </w:r>
    </w:p>
    <w:p>
      <w:pPr>
        <w:spacing w:line="280" w:lineRule="exact"/>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 xml:space="preserve">      2.本套报表金额单位转换时可能存在尾数误差。</w:t>
      </w:r>
    </w:p>
    <w:p>
      <w:pPr>
        <w:pStyle w:val="2"/>
        <w:rPr>
          <w:rFonts w:hint="eastAsia"/>
          <w:lang w:eastAsia="zh-CN"/>
        </w:rPr>
      </w:pPr>
    </w:p>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1"/>
          <w:szCs w:val="21"/>
        </w:rPr>
        <w:br w:type="page"/>
      </w:r>
    </w:p>
    <w:tbl>
      <w:tblPr>
        <w:tblStyle w:val="9"/>
        <w:tblW w:w="4726" w:type="pct"/>
        <w:tblInd w:w="0" w:type="dxa"/>
        <w:tblLayout w:type="autofit"/>
        <w:tblCellMar>
          <w:top w:w="0" w:type="dxa"/>
          <w:left w:w="0" w:type="dxa"/>
          <w:bottom w:w="0" w:type="dxa"/>
          <w:right w:w="0" w:type="dxa"/>
        </w:tblCellMar>
      </w:tblPr>
      <w:tblGrid>
        <w:gridCol w:w="1845"/>
        <w:gridCol w:w="3087"/>
        <w:gridCol w:w="1706"/>
        <w:gridCol w:w="1704"/>
        <w:gridCol w:w="1704"/>
        <w:gridCol w:w="1704"/>
        <w:gridCol w:w="1294"/>
        <w:gridCol w:w="1491"/>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284"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eastAsia="宋体" w:cs="Times New Roman"/>
                <w:color w:val="auto"/>
                <w:sz w:val="20"/>
                <w:szCs w:val="20"/>
                <w:lang w:val="en-US" w:eastAsia="zh-CN"/>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lang w:val="en-US" w:eastAsia="zh-CN"/>
              </w:rPr>
              <w:t>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重庆市巫溪县财政局</w:t>
            </w:r>
            <w:r>
              <w:rPr>
                <w:rFonts w:hint="default" w:ascii="Times New Roman" w:hAnsi="Times New Roman" w:cs="Times New Roman"/>
                <w:color w:val="auto"/>
                <w:sz w:val="20"/>
                <w:u w:color="auto"/>
                <w:lang w:val="en-US" w:eastAsia="zh-CN"/>
              </w:rPr>
              <w:t xml:space="preserve"> </w:t>
            </w: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1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CellMar>
            <w:top w:w="0" w:type="dxa"/>
            <w:left w:w="0" w:type="dxa"/>
            <w:bottom w:w="0" w:type="dxa"/>
            <w:right w:w="0" w:type="dxa"/>
          </w:tblCellMar>
        </w:tblPrEx>
        <w:trPr>
          <w:trHeight w:val="329" w:hRule="atLeast"/>
        </w:trPr>
        <w:tc>
          <w:tcPr>
            <w:tcW w:w="228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8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44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51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339" w:hRule="atLeast"/>
        </w:trPr>
        <w:tc>
          <w:tcPr>
            <w:tcW w:w="169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86"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1617"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5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CellMar>
            <w:top w:w="0" w:type="dxa"/>
            <w:left w:w="0" w:type="dxa"/>
            <w:bottom w:w="0" w:type="dxa"/>
            <w:right w:w="0" w:type="dxa"/>
          </w:tblCellMar>
        </w:tblPrEx>
        <w:trPr>
          <w:trHeight w:val="335" w:hRule="atLeast"/>
        </w:trPr>
        <w:tc>
          <w:tcPr>
            <w:tcW w:w="63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6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58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8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44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5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5"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6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4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45"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6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8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44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169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4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p>
    <w:p>
      <w:pPr>
        <w:pStyle w:val="2"/>
        <w:rPr>
          <w:rFonts w:hint="eastAsia"/>
          <w:lang w:eastAsia="zh-CN"/>
        </w:rPr>
      </w:pPr>
    </w:p>
    <w:p>
      <w:pPr>
        <w:pStyle w:val="2"/>
        <w:rPr>
          <w:rFonts w:hint="eastAsia"/>
          <w:lang w:eastAsia="zh-CN"/>
        </w:rPr>
      </w:pP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9"/>
        <w:tblW w:w="4695" w:type="pct"/>
        <w:tblInd w:w="0" w:type="dxa"/>
        <w:tblLayout w:type="autofit"/>
        <w:tblCellMar>
          <w:top w:w="0" w:type="dxa"/>
          <w:left w:w="0" w:type="dxa"/>
          <w:bottom w:w="0" w:type="dxa"/>
          <w:right w:w="0" w:type="dxa"/>
        </w:tblCellMar>
      </w:tblPr>
      <w:tblGrid>
        <w:gridCol w:w="1880"/>
        <w:gridCol w:w="3058"/>
        <w:gridCol w:w="3278"/>
        <w:gridCol w:w="196"/>
        <w:gridCol w:w="3474"/>
        <w:gridCol w:w="78"/>
        <w:gridCol w:w="2476"/>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84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lang w:val="en-US" w:eastAsia="zh-CN"/>
              </w:rPr>
              <w:t>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重庆市巫溪县财政局</w:t>
            </w:r>
          </w:p>
        </w:tc>
        <w:tc>
          <w:tcPr>
            <w:tcW w:w="1298"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85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CellMar>
            <w:top w:w="0" w:type="dxa"/>
            <w:left w:w="0" w:type="dxa"/>
            <w:bottom w:w="0" w:type="dxa"/>
            <w:right w:w="0" w:type="dxa"/>
          </w:tblCellMar>
        </w:tblPrEx>
        <w:trPr>
          <w:trHeight w:val="332" w:hRule="atLeast"/>
        </w:trPr>
        <w:tc>
          <w:tcPr>
            <w:tcW w:w="284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1298"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auto"/>
                <w:sz w:val="20"/>
                <w:szCs w:val="20"/>
              </w:rPr>
            </w:pPr>
          </w:p>
        </w:tc>
        <w:tc>
          <w:tcPr>
            <w:tcW w:w="85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0" w:type="dxa"/>
            <w:bottom w:w="0" w:type="dxa"/>
            <w:right w:w="0" w:type="dxa"/>
          </w:tblCellMar>
        </w:tblPrEx>
        <w:trPr>
          <w:trHeight w:val="422" w:hRule="atLeast"/>
        </w:trPr>
        <w:tc>
          <w:tcPr>
            <w:tcW w:w="1710"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3289"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CellMar>
            <w:top w:w="0" w:type="dxa"/>
            <w:left w:w="0" w:type="dxa"/>
            <w:bottom w:w="0" w:type="dxa"/>
            <w:right w:w="0" w:type="dxa"/>
          </w:tblCellMar>
        </w:tblPrEx>
        <w:trPr>
          <w:trHeight w:val="339" w:hRule="atLeast"/>
        </w:trPr>
        <w:tc>
          <w:tcPr>
            <w:tcW w:w="65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05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1203"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0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882"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CellMar>
            <w:top w:w="0" w:type="dxa"/>
            <w:left w:w="0" w:type="dxa"/>
            <w:bottom w:w="0" w:type="dxa"/>
            <w:right w:w="0" w:type="dxa"/>
          </w:tblCellMar>
        </w:tblPrEx>
        <w:trPr>
          <w:trHeight w:val="339" w:hRule="atLeast"/>
        </w:trPr>
        <w:tc>
          <w:tcPr>
            <w:tcW w:w="6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03"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0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882"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39" w:hRule="atLeast"/>
        </w:trPr>
        <w:tc>
          <w:tcPr>
            <w:tcW w:w="6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03"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0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882"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326" w:hRule="atLeast"/>
        </w:trPr>
        <w:tc>
          <w:tcPr>
            <w:tcW w:w="6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0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03"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0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882"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CellMar>
            <w:top w:w="0" w:type="dxa"/>
            <w:left w:w="0" w:type="dxa"/>
            <w:bottom w:w="0" w:type="dxa"/>
            <w:right w:w="0" w:type="dxa"/>
          </w:tblCellMar>
        </w:tblPrEx>
        <w:trPr>
          <w:trHeight w:val="611" w:hRule="atLeast"/>
        </w:trPr>
        <w:tc>
          <w:tcPr>
            <w:tcW w:w="171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0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2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auto"/>
                <w:sz w:val="20"/>
                <w:szCs w:val="20"/>
              </w:rPr>
            </w:pPr>
          </w:p>
        </w:tc>
        <w:tc>
          <w:tcPr>
            <w:tcW w:w="882"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p>
    <w:p>
      <w:pPr>
        <w:pStyle w:val="2"/>
        <w:rPr>
          <w:rFonts w:hint="eastAsia"/>
          <w:lang w:eastAsia="zh-CN"/>
        </w:rPr>
      </w:pP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9"/>
        <w:tblW w:w="4660" w:type="pct"/>
        <w:tblInd w:w="0" w:type="dxa"/>
        <w:tblLayout w:type="fixed"/>
        <w:tblCellMar>
          <w:top w:w="0" w:type="dxa"/>
          <w:left w:w="170" w:type="dxa"/>
          <w:bottom w:w="0" w:type="dxa"/>
          <w:right w:w="170" w:type="dxa"/>
        </w:tblCellMar>
      </w:tblPr>
      <w:tblGrid>
        <w:gridCol w:w="4040"/>
        <w:gridCol w:w="2166"/>
        <w:gridCol w:w="2115"/>
        <w:gridCol w:w="4523"/>
        <w:gridCol w:w="1489"/>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CellMar>
            <w:top w:w="0" w:type="dxa"/>
            <w:left w:w="170" w:type="dxa"/>
            <w:bottom w:w="0" w:type="dxa"/>
            <w:right w:w="170" w:type="dxa"/>
          </w:tblCellMar>
        </w:tblPrEx>
        <w:trPr>
          <w:trHeight w:val="244" w:hRule="atLeast"/>
        </w:trPr>
        <w:tc>
          <w:tcPr>
            <w:tcW w:w="1409"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75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auto"/>
                <w:sz w:val="20"/>
                <w:szCs w:val="20"/>
              </w:rPr>
            </w:pPr>
          </w:p>
        </w:tc>
        <w:tc>
          <w:tcPr>
            <w:tcW w:w="73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157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51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CellMar>
            <w:top w:w="0" w:type="dxa"/>
            <w:left w:w="170" w:type="dxa"/>
            <w:bottom w:w="0" w:type="dxa"/>
            <w:right w:w="170" w:type="dxa"/>
          </w:tblCellMar>
        </w:tblPrEx>
        <w:trPr>
          <w:trHeight w:val="244" w:hRule="atLeast"/>
        </w:trPr>
        <w:tc>
          <w:tcPr>
            <w:tcW w:w="2164"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w:t>
            </w:r>
            <w:r>
              <w:rPr>
                <w:rFonts w:hint="default" w:ascii="Times New Roman" w:hAnsi="Times New Roman" w:cs="Times New Roman"/>
                <w:color w:val="auto"/>
                <w:sz w:val="20"/>
                <w:szCs w:val="20"/>
                <w:lang w:val="en-US" w:eastAsia="zh-CN"/>
              </w:rPr>
              <w:t>部门</w:t>
            </w:r>
            <w:r>
              <w:rPr>
                <w:rFonts w:hint="default" w:ascii="Times New Roman" w:hAnsi="Times New Roman" w:cs="Times New Roman"/>
                <w:color w:val="auto"/>
                <w:sz w:val="20"/>
                <w:szCs w:val="20"/>
              </w:rPr>
              <w:t xml:space="preserve">： </w:t>
            </w:r>
            <w:r>
              <w:rPr>
                <w:rFonts w:hint="default" w:ascii="Times New Roman" w:hAnsi="Times New Roman" w:cs="Times New Roman"/>
                <w:color w:val="auto"/>
                <w:sz w:val="20"/>
                <w:u w:color="auto"/>
              </w:rPr>
              <w:t>重庆市巫溪县财政局</w:t>
            </w:r>
          </w:p>
        </w:tc>
        <w:tc>
          <w:tcPr>
            <w:tcW w:w="73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157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5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CellMar>
            <w:top w:w="0" w:type="dxa"/>
            <w:left w:w="170" w:type="dxa"/>
            <w:bottom w:w="0" w:type="dxa"/>
            <w:right w:w="170" w:type="dxa"/>
          </w:tblCellMar>
        </w:tblPrEx>
        <w:trPr>
          <w:trHeight w:val="28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7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预算数</w:t>
            </w:r>
          </w:p>
        </w:tc>
        <w:tc>
          <w:tcPr>
            <w:tcW w:w="73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项  目</w:t>
            </w:r>
          </w:p>
        </w:tc>
        <w:tc>
          <w:tcPr>
            <w:tcW w:w="51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6"/>
                <w:szCs w:val="16"/>
              </w:rPr>
            </w:pPr>
            <w:r>
              <w:rPr>
                <w:rFonts w:hint="default" w:ascii="Times New Roman" w:hAnsi="Times New Roman" w:cs="Times New Roman"/>
                <w:b/>
                <w:color w:val="auto"/>
                <w:sz w:val="16"/>
                <w:szCs w:val="16"/>
              </w:rPr>
              <w:t>决算数</w:t>
            </w:r>
          </w:p>
        </w:tc>
      </w:tr>
      <w:tr>
        <w:tblPrEx>
          <w:tblCellMar>
            <w:top w:w="0" w:type="dxa"/>
            <w:left w:w="170" w:type="dxa"/>
            <w:bottom w:w="0" w:type="dxa"/>
            <w:right w:w="170" w:type="dxa"/>
          </w:tblCellMar>
        </w:tblPrEx>
        <w:trPr>
          <w:trHeight w:val="28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一、“三公”经费支出</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四、机关运行经费</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189.03</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（一）支出合计</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38.18</w:t>
            </w:r>
            <w:r>
              <w:rPr>
                <w:rFonts w:hint="default" w:ascii="Times New Roman" w:hAnsi="Times New Roman" w:cs="Times New Roman"/>
                <w:color w:val="auto"/>
                <w:sz w:val="16"/>
                <w:u w:color="auto"/>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38.18</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（一）行政单位</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189.03</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1．因公出国（境）费</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（二）参照公务员法管理事业单位</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2．公务用车购置及运行维护费</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31.98</w:t>
            </w:r>
            <w:r>
              <w:rPr>
                <w:rFonts w:hint="default" w:ascii="Times New Roman" w:hAnsi="Times New Roman" w:cs="Times New Roman"/>
                <w:color w:val="auto"/>
                <w:sz w:val="16"/>
                <w:u w:color="auto"/>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31.98</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五、资产信息</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（1）公务用车购置费</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19.98</w:t>
            </w:r>
            <w:r>
              <w:rPr>
                <w:rFonts w:hint="default" w:ascii="Times New Roman" w:hAnsi="Times New Roman" w:cs="Times New Roman"/>
                <w:color w:val="auto"/>
                <w:sz w:val="16"/>
                <w:u w:color="auto"/>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19.98</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（一）车辆数合计（辆）</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3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（2）公务用车运行维护费</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12.00</w:t>
            </w:r>
            <w:r>
              <w:rPr>
                <w:rFonts w:hint="default" w:ascii="Times New Roman" w:hAnsi="Times New Roman" w:cs="Times New Roman"/>
                <w:color w:val="auto"/>
                <w:sz w:val="16"/>
                <w:u w:color="auto"/>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12.00</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1．副部（省）级及以上领导用车</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3．公务接待费</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6.20</w:t>
            </w:r>
            <w:r>
              <w:rPr>
                <w:rFonts w:hint="default" w:ascii="Times New Roman" w:hAnsi="Times New Roman" w:cs="Times New Roman"/>
                <w:color w:val="auto"/>
                <w:sz w:val="16"/>
                <w:u w:color="auto"/>
              </w:rPr>
              <w:t xml:space="preserve"> </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6.20</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2．主要领导干部用车</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（1）国内接待费</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6.20</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3．机要通信用车</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其中：外事接待费</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4．应急保障用车</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（2）国（境）外接待费</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5．执法执勤用车</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（二）相关统计数</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157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6．特种专业技术用车</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1．因公出国（境）团组数（个）</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7．离退休干部用车</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2．因公出国（境）人次数（人）</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8．其他用车</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3．公务用车购置数（辆）</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（二）单价100万元（含）以上设备（不含车辆）</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4．公务用车保有量（辆）</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六、政府采购支出信息</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5．国内公务接待批次（个）</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120</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（一）政府采购支出合计</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24.38</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其中：外事接待批次（个）</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1．政府采购货物支出</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24.38</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6．国内公务接待人次（人）</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530</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2．政府采购工程支出</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其中：外事接待人次（人）</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3．政府采购服务支出</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7．国（境）外公务接待批次（个）</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（二）政府采购授予中小企业合同金额</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24.38</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92" w:hRule="atLeast"/>
        </w:trPr>
        <w:tc>
          <w:tcPr>
            <w:tcW w:w="140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8．国（境）外公务接待人次（人）</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 xml:space="preserve">        其中：授予小微企业合同金额</w:t>
            </w: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19.98</w:t>
            </w:r>
            <w:r>
              <w:rPr>
                <w:rFonts w:hint="default" w:ascii="Times New Roman" w:hAnsi="Times New Roman" w:cs="Times New Roman"/>
                <w:color w:val="auto"/>
                <w:sz w:val="16"/>
                <w:u w:color="auto"/>
              </w:rPr>
              <w:t xml:space="preserve"> </w:t>
            </w:r>
          </w:p>
        </w:tc>
      </w:tr>
      <w:tr>
        <w:tblPrEx>
          <w:tblCellMar>
            <w:top w:w="0" w:type="dxa"/>
            <w:left w:w="170" w:type="dxa"/>
            <w:bottom w:w="0" w:type="dxa"/>
            <w:right w:w="170" w:type="dxa"/>
          </w:tblCellMar>
        </w:tblPrEx>
        <w:trPr>
          <w:trHeight w:val="286"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二、会议费</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13.96</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6"/>
                <w:szCs w:val="16"/>
              </w:rPr>
            </w:pP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rPr>
            </w:pPr>
          </w:p>
        </w:tc>
      </w:tr>
      <w:tr>
        <w:tblPrEx>
          <w:tblCellMar>
            <w:top w:w="0" w:type="dxa"/>
            <w:left w:w="170" w:type="dxa"/>
            <w:bottom w:w="0" w:type="dxa"/>
            <w:right w:w="170" w:type="dxa"/>
          </w:tblCellMar>
        </w:tblPrEx>
        <w:trPr>
          <w:trHeight w:val="389" w:hRule="atLeast"/>
        </w:trPr>
        <w:tc>
          <w:tcPr>
            <w:tcW w:w="140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三、培训费</w:t>
            </w:r>
          </w:p>
        </w:tc>
        <w:tc>
          <w:tcPr>
            <w:tcW w:w="7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w:t>
            </w:r>
          </w:p>
        </w:tc>
        <w:tc>
          <w:tcPr>
            <w:tcW w:w="7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auto"/>
                <w:sz w:val="16"/>
                <w:szCs w:val="16"/>
              </w:rPr>
            </w:pPr>
            <w:r>
              <w:rPr>
                <w:rFonts w:hint="default" w:ascii="Times New Roman" w:hAnsi="Times New Roman" w:cs="Times New Roman"/>
                <w:color w:val="auto"/>
                <w:sz w:val="16"/>
                <w:szCs w:val="16"/>
              </w:rPr>
              <w:t>65.93</w:t>
            </w:r>
            <w:r>
              <w:rPr>
                <w:rFonts w:hint="default" w:ascii="Times New Roman" w:hAnsi="Times New Roman" w:cs="Times New Roman"/>
                <w:color w:val="auto"/>
                <w:sz w:val="16"/>
                <w:u w:color="auto"/>
              </w:rPr>
              <w:t xml:space="preserve"> </w:t>
            </w:r>
          </w:p>
        </w:tc>
        <w:tc>
          <w:tcPr>
            <w:tcW w:w="157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auto"/>
                <w:sz w:val="16"/>
                <w:szCs w:val="16"/>
              </w:rPr>
            </w:pPr>
          </w:p>
        </w:tc>
        <w:tc>
          <w:tcPr>
            <w:tcW w:w="5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auto"/>
                <w:sz w:val="16"/>
                <w:szCs w:val="16"/>
              </w:rPr>
            </w:pPr>
          </w:p>
        </w:tc>
      </w:tr>
    </w:tbl>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w:t>
      </w:r>
    </w:p>
    <w:p>
      <w:pP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财政拨款和以前年度结转资金安排的实际支出。</w:t>
      </w:r>
    </w:p>
    <w:p>
      <w:pP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 xml:space="preserve">      2.本套报表金额单位转换时可能存在尾数误差。</w:t>
      </w:r>
    </w:p>
    <w:p>
      <w:pPr>
        <w:pStyle w:val="2"/>
        <w:rPr>
          <w:rFonts w:hint="eastAsia"/>
          <w:lang w:eastAsia="zh-CN"/>
        </w:rPr>
      </w:pPr>
    </w:p>
    <w:p>
      <w:pPr>
        <w:pStyle w:val="2"/>
        <w:rPr>
          <w:rFonts w:hint="eastAsia"/>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MjM2MTI3YWE4MDk3NGM3ZGRjMGM5ODRlYTBkNj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610F29"/>
    <w:rsid w:val="079D7CC7"/>
    <w:rsid w:val="07C117B0"/>
    <w:rsid w:val="08051BCA"/>
    <w:rsid w:val="086C12F4"/>
    <w:rsid w:val="08705944"/>
    <w:rsid w:val="08854459"/>
    <w:rsid w:val="08BA052C"/>
    <w:rsid w:val="08DB07BA"/>
    <w:rsid w:val="0969353F"/>
    <w:rsid w:val="098305D0"/>
    <w:rsid w:val="0A3317EA"/>
    <w:rsid w:val="0A5C4B69"/>
    <w:rsid w:val="0A795CA0"/>
    <w:rsid w:val="0A86124A"/>
    <w:rsid w:val="0AB54CC0"/>
    <w:rsid w:val="0B9335CE"/>
    <w:rsid w:val="0BF2311A"/>
    <w:rsid w:val="0C7927C4"/>
    <w:rsid w:val="0C9B098C"/>
    <w:rsid w:val="0CA27847"/>
    <w:rsid w:val="0D673E11"/>
    <w:rsid w:val="0DDA54E4"/>
    <w:rsid w:val="0E3A5F83"/>
    <w:rsid w:val="0E9312DC"/>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97253D"/>
    <w:rsid w:val="163A6CEE"/>
    <w:rsid w:val="173708E3"/>
    <w:rsid w:val="17C374FC"/>
    <w:rsid w:val="182E4AB6"/>
    <w:rsid w:val="189079DC"/>
    <w:rsid w:val="189B0D0B"/>
    <w:rsid w:val="18B43F7C"/>
    <w:rsid w:val="194A1770"/>
    <w:rsid w:val="19B906A4"/>
    <w:rsid w:val="1A253B65"/>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9C2147"/>
    <w:rsid w:val="29C37A35"/>
    <w:rsid w:val="2A076083"/>
    <w:rsid w:val="2A73162E"/>
    <w:rsid w:val="2B167953"/>
    <w:rsid w:val="2B200583"/>
    <w:rsid w:val="2B8209DE"/>
    <w:rsid w:val="2C636760"/>
    <w:rsid w:val="2C6762A3"/>
    <w:rsid w:val="2EBA3547"/>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6E5F6B"/>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C5365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8E73DD"/>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B45288"/>
    <w:rsid w:val="5F2D4A41"/>
    <w:rsid w:val="60C74F6C"/>
    <w:rsid w:val="61025A59"/>
    <w:rsid w:val="613D5BBC"/>
    <w:rsid w:val="61536C39"/>
    <w:rsid w:val="62944DD7"/>
    <w:rsid w:val="6319381F"/>
    <w:rsid w:val="63C25DC5"/>
    <w:rsid w:val="63C62057"/>
    <w:rsid w:val="64571EF5"/>
    <w:rsid w:val="64FB113D"/>
    <w:rsid w:val="65571A4F"/>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B7016B"/>
    <w:rsid w:val="6B474EF5"/>
    <w:rsid w:val="6B7A33B3"/>
    <w:rsid w:val="6C0A5AC5"/>
    <w:rsid w:val="6C560CAE"/>
    <w:rsid w:val="6C576495"/>
    <w:rsid w:val="6D903FF5"/>
    <w:rsid w:val="6DA955B8"/>
    <w:rsid w:val="6DE346AB"/>
    <w:rsid w:val="6DE5391A"/>
    <w:rsid w:val="6E265F18"/>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7F4AF0"/>
    <w:rsid w:val="7DE94331"/>
    <w:rsid w:val="7F446A19"/>
    <w:rsid w:val="7F7452B9"/>
    <w:rsid w:val="FBDE9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0" w:beforeAutospacing="0" w:after="0" w:afterAutospacing="0"/>
      <w:ind w:left="0" w:right="0"/>
      <w:jc w:val="left"/>
    </w:pPr>
    <w:rPr>
      <w:rFonts w:hint="eastAsia" w:ascii="Arial Unicode MS" w:hAnsi="Arial Unicode MS" w:eastAsia="Arial Unicode MS" w:cs="Arial Unicode MS"/>
      <w:kern w:val="0"/>
      <w:sz w:val="32"/>
      <w:szCs w:val="32"/>
      <w:lang w:val="en-US" w:eastAsia="zh-CN" w:bidi="ar"/>
    </w:rPr>
  </w:style>
  <w:style w:type="paragraph" w:styleId="3">
    <w:name w:val="toc 5"/>
    <w:basedOn w:val="1"/>
    <w:next w:val="1"/>
    <w:qFormat/>
    <w:uiPriority w:val="39"/>
    <w:pPr>
      <w:spacing w:before="0" w:beforeAutospacing="0" w:after="0" w:afterAutospacing="0"/>
      <w:ind w:left="1680" w:leftChars="800" w:right="0"/>
      <w:jc w:val="left"/>
    </w:pPr>
    <w:rPr>
      <w:rFonts w:hint="eastAsia" w:ascii="宋体" w:hAnsi="宋体" w:eastAsia="宋体" w:cs="宋体"/>
      <w:kern w:val="0"/>
      <w:sz w:val="24"/>
      <w:szCs w:val="24"/>
      <w:lang w:val="en-US" w:eastAsia="zh-CN" w:bidi="ar"/>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1"/>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WPS_1546599167</cp:lastModifiedBy>
  <dcterms:modified xsi:type="dcterms:W3CDTF">2024-10-08T01:18:32Z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536A2E061F324EB48F06EAB335F281B2_13</vt:lpwstr>
  </property>
</Properties>
</file>