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重庆市巫溪县尖山幼儿园</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楷体_GBK" w:hAnsi="方正楷体_GBK" w:eastAsia="方正楷体_GBK" w:cs="方正楷体_GBK"/>
          <w:bCs/>
          <w:color w:val="333333"/>
          <w:sz w:val="32"/>
          <w:szCs w:val="32"/>
          <w:shd w:val="clear" w:color="auto" w:fill="FFFFFF"/>
        </w:rPr>
      </w:pPr>
      <w:r>
        <w:rPr>
          <w:rStyle w:val="10"/>
          <w:rFonts w:ascii="楷体" w:hAnsi="楷体" w:eastAsia="楷体" w:cs="楷体"/>
          <w:sz w:val="32"/>
          <w:szCs w:val="32"/>
          <w:shd w:val="clear" w:color="auto" w:fill="FFFFFF"/>
        </w:rPr>
        <w:t>（一）职能职责</w:t>
      </w:r>
    </w:p>
    <w:p>
      <w:pPr>
        <w:shd w:val="clear" w:color="auto" w:fill="FFFFFF"/>
        <w:spacing w:line="600" w:lineRule="exact"/>
        <w:ind w:firstLine="634"/>
        <w:rPr>
          <w:rFonts w:hint="default" w:ascii="方正仿宋_GBK" w:eastAsia="方正仿宋_GBK"/>
          <w:sz w:val="32"/>
          <w:szCs w:val="32"/>
          <w:shd w:val="clear" w:color="auto" w:fill="FFFFFF"/>
        </w:rPr>
      </w:pPr>
      <w:r>
        <w:rPr>
          <w:rFonts w:ascii="方正仿宋_GBK" w:eastAsia="方正仿宋_GBK"/>
          <w:sz w:val="32"/>
          <w:szCs w:val="32"/>
          <w:shd w:val="clear" w:color="auto" w:fill="FFFFFF"/>
        </w:rPr>
        <w:t>巫溪县尖山幼儿园是一所全日制一级公办幼儿园，为学龄前儿童提供保育和教育服务。幼儿保育和幼儿教育的事业单位，人员经费由财政全额核拨。</w:t>
      </w:r>
    </w:p>
    <w:p>
      <w:pPr>
        <w:shd w:val="clear" w:color="auto" w:fill="FFFFFF"/>
        <w:spacing w:line="600" w:lineRule="exact"/>
        <w:ind w:firstLine="634"/>
        <w:rPr>
          <w:rFonts w:hint="default" w:ascii="方正仿宋_GBK" w:eastAsia="方正仿宋_GBK"/>
          <w:sz w:val="32"/>
          <w:szCs w:val="32"/>
          <w:shd w:val="clear" w:color="auto" w:fill="FFFFFF"/>
        </w:rPr>
      </w:pPr>
      <w:r>
        <w:rPr>
          <w:rFonts w:ascii="方正仿宋_GBK" w:eastAsia="方正仿宋_GBK"/>
          <w:sz w:val="32"/>
          <w:szCs w:val="32"/>
          <w:shd w:val="clear" w:color="auto" w:fill="FFFFFF"/>
        </w:rPr>
        <w:t>1.负责贯彻国家的教育方针，全面实施素质教育，促进幼儿身心健康发展。</w:t>
      </w:r>
    </w:p>
    <w:p>
      <w:pPr>
        <w:shd w:val="clear" w:color="auto" w:fill="FFFFFF"/>
        <w:spacing w:line="600" w:lineRule="exact"/>
        <w:ind w:firstLine="634"/>
        <w:rPr>
          <w:rFonts w:hint="default" w:ascii="方正仿宋_GBK" w:eastAsia="方正仿宋_GBK"/>
          <w:sz w:val="32"/>
          <w:szCs w:val="32"/>
          <w:shd w:val="clear" w:color="auto" w:fill="FFFFFF"/>
        </w:rPr>
      </w:pPr>
      <w:r>
        <w:rPr>
          <w:rFonts w:ascii="方正仿宋_GBK" w:eastAsia="方正仿宋_GBK"/>
          <w:sz w:val="32"/>
          <w:szCs w:val="32"/>
          <w:shd w:val="clear" w:color="auto" w:fill="FFFFFF"/>
        </w:rPr>
        <w:t>2.维护幼儿、教师以及其他职工的合法权益；以适当的方式，为家长了解幼儿在园及其他情况提供便利。</w:t>
      </w:r>
    </w:p>
    <w:p>
      <w:pPr>
        <w:shd w:val="clear" w:color="auto" w:fill="FFFFFF"/>
        <w:spacing w:line="600" w:lineRule="exact"/>
        <w:ind w:firstLine="634"/>
        <w:rPr>
          <w:rFonts w:hint="default" w:ascii="方正仿宋_GBK" w:eastAsia="方正仿宋_GBK"/>
          <w:sz w:val="32"/>
          <w:szCs w:val="32"/>
          <w:shd w:val="clear" w:color="auto" w:fill="FFFFFF"/>
        </w:rPr>
      </w:pPr>
      <w:r>
        <w:rPr>
          <w:rFonts w:ascii="方正仿宋_GBK" w:eastAsia="方正仿宋_GBK"/>
          <w:sz w:val="32"/>
          <w:szCs w:val="32"/>
          <w:shd w:val="clear" w:color="auto" w:fill="FFFFFF"/>
        </w:rPr>
        <w:t>3.遵照国家有关规定收取费用并公开收费项目。</w:t>
      </w:r>
    </w:p>
    <w:p>
      <w:pPr>
        <w:shd w:val="clear" w:color="auto" w:fill="FFFFFF"/>
        <w:spacing w:line="600" w:lineRule="exact"/>
        <w:ind w:firstLine="634"/>
        <w:rPr>
          <w:rFonts w:hint="default" w:ascii="方正仿宋_GBK" w:eastAsia="方正仿宋_GBK"/>
          <w:sz w:val="32"/>
          <w:szCs w:val="32"/>
          <w:shd w:val="clear" w:color="auto" w:fill="FFFFFF"/>
        </w:rPr>
      </w:pPr>
      <w:r>
        <w:rPr>
          <w:rFonts w:ascii="方正仿宋_GBK" w:eastAsia="方正仿宋_GBK"/>
          <w:sz w:val="32"/>
          <w:szCs w:val="32"/>
          <w:shd w:val="clear" w:color="auto" w:fill="FFFFFF"/>
        </w:rPr>
        <w:t>4.依法接受幼儿家长、社会、政府综合部门及教育主管部门监督。</w:t>
      </w:r>
    </w:p>
    <w:p>
      <w:pPr>
        <w:shd w:val="clear" w:color="auto" w:fill="FFFFFF"/>
        <w:spacing w:line="600" w:lineRule="exact"/>
        <w:ind w:firstLine="634"/>
        <w:rPr>
          <w:rFonts w:hint="default" w:ascii="方正仿宋_GBK" w:eastAsia="方正仿宋_GBK"/>
          <w:sz w:val="32"/>
          <w:szCs w:val="32"/>
          <w:shd w:val="clear" w:color="auto" w:fill="FFFFFF"/>
        </w:rPr>
      </w:pPr>
      <w:r>
        <w:rPr>
          <w:rFonts w:ascii="方正仿宋_GBK" w:eastAsia="方正仿宋_GBK"/>
          <w:sz w:val="32"/>
          <w:szCs w:val="32"/>
          <w:shd w:val="clear" w:color="auto" w:fill="FFFFFF"/>
        </w:rPr>
        <w:t>5.建立安全管理制度，履行安全管理职责。</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shd w:val="clear" w:color="auto" w:fill="FFFFFF"/>
        <w:spacing w:line="600" w:lineRule="exact"/>
        <w:ind w:firstLine="634"/>
        <w:rPr>
          <w:rFonts w:hint="default" w:ascii="方正楷体_GBK" w:hAnsi="方正楷体_GBK" w:eastAsia="方正仿宋_GBK" w:cs="方正楷体_GBK"/>
          <w:bCs/>
          <w:color w:val="333333"/>
          <w:sz w:val="32"/>
          <w:szCs w:val="32"/>
          <w:shd w:val="clear" w:color="auto" w:fill="FFFFFF"/>
        </w:rPr>
      </w:pPr>
      <w:r>
        <w:rPr>
          <w:rFonts w:ascii="方正仿宋_GBK" w:eastAsia="方正仿宋_GBK"/>
          <w:sz w:val="32"/>
          <w:szCs w:val="32"/>
          <w:shd w:val="clear" w:color="auto" w:fill="FFFFFF"/>
        </w:rPr>
        <w:t>本单位编制15人，实有14人，在校幼儿131人。内设保教处、综合办公室、工会处三个机构。</w:t>
      </w:r>
    </w:p>
    <w:p>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2023年度收入总计297.31万元，支出总计</w:t>
      </w:r>
      <w:r>
        <w:rPr>
          <w:rFonts w:ascii="方正仿宋_GBK" w:hAnsi="方正仿宋_GBK" w:eastAsia="方正仿宋_GBK" w:cs="方正仿宋_GBK"/>
          <w:sz w:val="32"/>
          <w:szCs w:val="32"/>
        </w:rPr>
        <w:t>297.31</w:t>
      </w:r>
      <w:r>
        <w:rPr>
          <w:rFonts w:ascii="方正仿宋_GBK" w:hAnsi="方正仿宋_GBK" w:eastAsia="方正仿宋_GBK" w:cs="方正仿宋_GBK"/>
          <w:sz w:val="32"/>
          <w:szCs w:val="32"/>
          <w:shd w:val="clear" w:color="auto" w:fill="FFFFFF"/>
        </w:rPr>
        <w:t>万元。收支较上年决算数增加40.32万元，增长15.69%，主要原因是教职工保险增长，办公经费增加等。</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2023年度收入合计297.31万元，较上年决算数增加40.32万元，增长15.69%，主要原因是教职工保险增长，办公经费增加等。其中：财政拨款收入</w:t>
      </w:r>
      <w:r>
        <w:rPr>
          <w:rFonts w:ascii="方正仿宋_GBK" w:hAnsi="方正仿宋_GBK" w:eastAsia="方正仿宋_GBK" w:cs="方正仿宋_GBK"/>
          <w:sz w:val="32"/>
          <w:szCs w:val="32"/>
        </w:rPr>
        <w:t>297.31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297.31</w:t>
      </w:r>
      <w:r>
        <w:rPr>
          <w:rFonts w:ascii="方正仿宋_GBK" w:hAnsi="方正仿宋_GBK" w:eastAsia="方正仿宋_GBK" w:cs="方正仿宋_GBK"/>
          <w:sz w:val="32"/>
          <w:szCs w:val="32"/>
          <w:shd w:val="clear" w:color="auto" w:fill="FFFFFF"/>
        </w:rPr>
        <w:t>万元，较上年决算数增加40.32万元，增长15.69%，主要原因是教职工保险增长，办公经费增加等。其中：基本支出</w:t>
      </w:r>
      <w:r>
        <w:rPr>
          <w:rFonts w:ascii="方正仿宋_GBK" w:hAnsi="方正仿宋_GBK" w:eastAsia="方正仿宋_GBK" w:cs="方正仿宋_GBK"/>
          <w:sz w:val="32"/>
          <w:szCs w:val="32"/>
        </w:rPr>
        <w:t>234.41</w:t>
      </w:r>
      <w:r>
        <w:rPr>
          <w:rFonts w:ascii="方正仿宋_GBK" w:hAnsi="方正仿宋_GBK" w:eastAsia="方正仿宋_GBK" w:cs="方正仿宋_GBK"/>
          <w:sz w:val="32"/>
          <w:szCs w:val="32"/>
          <w:shd w:val="clear" w:color="auto" w:fill="FFFFFF"/>
        </w:rPr>
        <w:t>万元，占78.84%；项目支出</w:t>
      </w:r>
      <w:r>
        <w:rPr>
          <w:rFonts w:ascii="方正仿宋_GBK" w:hAnsi="方正仿宋_GBK" w:eastAsia="方正仿宋_GBK" w:cs="方正仿宋_GBK"/>
          <w:sz w:val="32"/>
          <w:szCs w:val="32"/>
        </w:rPr>
        <w:t>62.90</w:t>
      </w:r>
      <w:r>
        <w:rPr>
          <w:rFonts w:ascii="方正仿宋_GBK" w:hAnsi="方正仿宋_GBK" w:eastAsia="方正仿宋_GBK" w:cs="方正仿宋_GBK"/>
          <w:sz w:val="32"/>
          <w:szCs w:val="32"/>
          <w:shd w:val="clear" w:color="auto" w:fill="FFFFFF"/>
        </w:rPr>
        <w:t>万元，占21.16%；经营支出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万元，较上年决算数无增减，主要原因是教职工保险增长，办公经费增加等。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2023年度财政拨款收、支总计297.31万元。与2022年相比，财政拨款收、支总计各增加40.32万元，增长15.69%。主要原因是教职工保险增长，办公经费增加等。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297.31</w:t>
      </w:r>
      <w:r>
        <w:rPr>
          <w:rFonts w:ascii="方正仿宋_GBK" w:hAnsi="方正仿宋_GBK" w:eastAsia="方正仿宋_GBK" w:cs="方正仿宋_GBK"/>
          <w:sz w:val="32"/>
          <w:szCs w:val="32"/>
          <w:shd w:val="clear" w:color="auto" w:fill="FFFFFF"/>
        </w:rPr>
        <w:t>万元，较上年决算数增加40.32万元，增长15.69%。主要原因是教职工保险增长，办公经费增加等。较年初预算数增加95.21万元，增长47.11%。主要原因是教职工保险增长，办公经费增加等。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297.31</w:t>
      </w:r>
      <w:r>
        <w:rPr>
          <w:rFonts w:ascii="方正仿宋_GBK" w:hAnsi="方正仿宋_GBK" w:eastAsia="方正仿宋_GBK" w:cs="方正仿宋_GBK"/>
          <w:sz w:val="32"/>
          <w:szCs w:val="32"/>
          <w:shd w:val="clear" w:color="auto" w:fill="FFFFFF"/>
        </w:rPr>
        <w:t>万元，较上年决算数增加40.32万元，增长15.69%。主要原因是教职工保险增长，办公经费增加等。较年初预算数增加95.21万元，增长47.11%。主要原因是教职工保险增长，办公经费增加等。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万元，较上年决算数无增减，主要原因是教职工保险增长，办公经费增加等。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本单位2023年度一般公共预算财政拨款支出主要用于以下几个方面：（社会保障和就业支出、卫生健康支出、住房保障支出、教育支出）</w:t>
      </w:r>
    </w:p>
    <w:p>
      <w:pPr>
        <w:pStyle w:val="6"/>
        <w:shd w:val="clear" w:color="auto" w:fill="FFFFFF"/>
        <w:spacing w:beforeAutospacing="0" w:afterAutospacing="0" w:line="600" w:lineRule="exact"/>
        <w:ind w:firstLine="640" w:firstLineChars="200"/>
        <w:rPr>
          <w:rFonts w:hint="default" w:ascii="仿宋" w:hAnsi="仿宋" w:eastAsia="仿宋" w:cs="仿宋"/>
          <w:bCs/>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251.47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84.58</w:t>
      </w:r>
      <w:r>
        <w:rPr>
          <w:rFonts w:ascii="方正仿宋_GBK" w:hAnsi="方正仿宋_GBK" w:eastAsia="方正仿宋_GBK" w:cs="方正仿宋_GBK"/>
          <w:sz w:val="32"/>
          <w:szCs w:val="32"/>
          <w:shd w:val="clear" w:color="auto" w:fill="FFFFFF"/>
        </w:rPr>
        <w:t>%，较年初预算数增加98.20万元，增长64.07%，主要原因是只包含人员经费.而项目经费、公用经费、助学金等没有纳入预算。</w:t>
      </w:r>
    </w:p>
    <w:p>
      <w:pPr>
        <w:pStyle w:val="6"/>
        <w:shd w:val="clear" w:color="auto" w:fill="FFFFFF"/>
        <w:spacing w:beforeAutospacing="0" w:afterAutospacing="0" w:line="600" w:lineRule="exact"/>
        <w:ind w:firstLine="640" w:firstLineChars="200"/>
        <w:rPr>
          <w:rFonts w:hint="default" w:ascii="仿宋" w:hAnsi="仿宋" w:eastAsia="仿宋" w:cs="仿宋"/>
          <w:bCs/>
          <w:sz w:val="32"/>
          <w:szCs w:val="32"/>
          <w:shd w:val="clear" w:color="auto" w:fill="FFFFFF"/>
        </w:rPr>
      </w:pPr>
      <w:r>
        <w:rPr>
          <w:rFonts w:ascii="方正仿宋_GBK" w:hAnsi="方正仿宋_GBK" w:eastAsia="方正仿宋_GBK" w:cs="方正仿宋_GBK"/>
          <w:sz w:val="32"/>
          <w:szCs w:val="32"/>
          <w:shd w:val="clear" w:color="auto" w:fill="FFFFFF"/>
        </w:rPr>
        <w:t>（2）社会保障与就业支出23.36</w:t>
      </w:r>
      <w:r>
        <w:rPr>
          <w:rFonts w:ascii="方正仿宋_GBK" w:hAnsi="方正仿宋_GBK" w:eastAsia="方正仿宋_GBK" w:cs="方正仿宋_GBK"/>
          <w:sz w:val="32"/>
          <w:szCs w:val="32"/>
          <w:shd w:val="clear" w:color="auto" w:fill="FFFFFF"/>
        </w:rPr>
        <w:t>万元，占7.86</w:t>
      </w:r>
      <w:r>
        <w:rPr>
          <w:rFonts w:ascii="方正仿宋_GBK" w:hAnsi="方正仿宋_GBK" w:eastAsia="方正仿宋_GBK" w:cs="方正仿宋_GBK"/>
          <w:sz w:val="32"/>
          <w:szCs w:val="32"/>
          <w:shd w:val="clear" w:color="auto" w:fill="FFFFFF"/>
        </w:rPr>
        <w:t>%，较年初预算数减少2.12万元，下降8.32%，主要原因是本单位与上年比较人员发生变化。</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9.69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3.26</w:t>
      </w:r>
      <w:r>
        <w:rPr>
          <w:rFonts w:ascii="方正仿宋_GBK" w:hAnsi="方正仿宋_GBK" w:eastAsia="方正仿宋_GBK" w:cs="方正仿宋_GBK"/>
          <w:sz w:val="32"/>
          <w:szCs w:val="32"/>
          <w:shd w:val="clear" w:color="auto" w:fill="FFFFFF"/>
        </w:rPr>
        <w:t>%，较年初预算数减少0.92万元，下降8.67%，主要原因是有人员变动。</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住房保障支出12.79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4.30</w:t>
      </w:r>
      <w:r>
        <w:rPr>
          <w:rFonts w:ascii="方正仿宋_GBK" w:hAnsi="方正仿宋_GBK" w:eastAsia="方正仿宋_GBK" w:cs="方正仿宋_GBK"/>
          <w:sz w:val="32"/>
          <w:szCs w:val="32"/>
          <w:shd w:val="clear" w:color="auto" w:fill="FFFFFF"/>
        </w:rPr>
        <w:t>%，较年初预算数增加0.05万元，增长0.39%，主要原因是公积金基数调整。</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hd w:val="clear" w:color="auto" w:fill="FFFFFF"/>
        <w:spacing w:beforeAutospacing="0" w:afterAutospacing="0"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234.41</w:t>
      </w:r>
      <w:r>
        <w:rPr>
          <w:rFonts w:ascii="方正仿宋_GBK" w:hAnsi="方正仿宋_GBK" w:eastAsia="方正仿宋_GBK" w:cs="方正仿宋_GBK"/>
          <w:sz w:val="32"/>
          <w:szCs w:val="32"/>
          <w:shd w:val="clear" w:color="auto" w:fill="FFFFFF"/>
        </w:rPr>
        <w:t>万元。其中：人员</w:t>
      </w:r>
      <w:r>
        <w:rPr>
          <w:rFonts w:ascii="方正仿宋_GBK" w:hAnsi="方正仿宋_GBK" w:eastAsia="方正仿宋_GBK" w:cs="方正仿宋_GBK"/>
          <w:sz w:val="32"/>
          <w:szCs w:val="32"/>
        </w:rPr>
        <w:t>经费</w:t>
      </w:r>
      <w:r>
        <w:rPr>
          <w:rFonts w:ascii="方正仿宋_GBK" w:hAnsi="方正仿宋_GBK" w:eastAsia="方正仿宋_GBK" w:cs="方正仿宋_GBK"/>
          <w:sz w:val="32"/>
          <w:szCs w:val="32"/>
        </w:rPr>
        <w:t>231.98万元，较上年决算数增加1.61万元，增长0.70%，主要原因是本单位与上年比较人员结构发生变化。人员经费用途主要包括工资、津补贴、绩效工资社会保障缴费、卫生健康支出、住房保障支出、助学金等。公用经费</w:t>
      </w:r>
      <w:r>
        <w:rPr>
          <w:rFonts w:ascii="方正仿宋_GBK" w:hAnsi="方正仿宋_GBK" w:eastAsia="方正仿宋_GBK" w:cs="方正仿宋_GBK"/>
          <w:sz w:val="32"/>
          <w:szCs w:val="32"/>
        </w:rPr>
        <w:t>2.44万元，较上年决算数减少14.72万元，下降85.78%，主要原因是厉行节约、压缩公用经费支出。公用经费用途主要包括包括办公费、印刷费、咨询费、水费、电费、邮电费、差旅费、维修维护费、培训费、公务接待费、劳务费、其他商品共服务支出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hd w:val="clear" w:color="auto" w:fill="FFFFFF"/>
        <w:spacing w:beforeAutospacing="0" w:afterAutospacing="0" w:line="600" w:lineRule="exact"/>
        <w:ind w:firstLine="640" w:firstLineChars="200"/>
        <w:rPr>
          <w:rFonts w:hint="default" w:ascii="仿宋" w:hAnsi="仿宋" w:eastAsia="仿宋" w:cs="仿宋"/>
          <w:bCs/>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万元，年末结转结余0.00</w:t>
      </w:r>
      <w:r>
        <w:rPr>
          <w:rFonts w:ascii="方正仿宋_GBK" w:hAnsi="方正仿宋_GBK" w:eastAsia="方正仿宋_GBK" w:cs="方正仿宋_GBK"/>
          <w:sz w:val="32"/>
          <w:szCs w:val="32"/>
          <w:shd w:val="clear" w:color="auto" w:fill="FFFFFF"/>
        </w:rPr>
        <w:t>万元。本年收入0.00</w:t>
      </w:r>
      <w:r>
        <w:rPr>
          <w:rFonts w:ascii="方正仿宋_GBK" w:hAnsi="方正仿宋_GBK" w:eastAsia="方正仿宋_GBK" w:cs="方正仿宋_GBK"/>
          <w:sz w:val="32"/>
          <w:szCs w:val="32"/>
          <w:shd w:val="clear" w:color="auto" w:fill="FFFFFF"/>
        </w:rPr>
        <w:t>万元，较上年决算数无增减，主要原因是本部门2022年度无政府性基金预算财政拨款收支。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hd w:val="clear" w:color="auto" w:fill="FFFFFF"/>
        <w:spacing w:beforeAutospacing="0" w:afterAutospacing="0"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2023年度国有资本经营预算财政拨本年支出0.00万元，基本支出0.00万元，项目支出0.00万元，主要原因是本部门</w:t>
      </w:r>
      <w:r>
        <w:rPr>
          <w:rFonts w:ascii="方正仿宋_GBK" w:hAnsi="方正仿宋_GBK" w:eastAsia="方正仿宋_GBK" w:cs="方正仿宋_GBK"/>
          <w:sz w:val="32"/>
          <w:szCs w:val="32"/>
          <w:shd w:val="clear" w:color="auto" w:fill="FFFFFF"/>
        </w:rPr>
        <w:t>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2023年度“三公”经费支出共计0.00</w:t>
      </w:r>
      <w:r>
        <w:rPr>
          <w:rFonts w:ascii="方正仿宋_GBK" w:hAnsi="方正仿宋_GBK" w:eastAsia="方正仿宋_GBK" w:cs="方正仿宋_GBK"/>
          <w:sz w:val="32"/>
          <w:szCs w:val="32"/>
          <w:shd w:val="clear" w:color="auto" w:fill="FFFFFF"/>
        </w:rPr>
        <w:t>万元，较年初预算数无增减，主要原因是我单位属于全额拨款事业单位，财政未保障我单位“三公”经费。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2023年度本部门因公出国（境）费用0.00万元，本单位</w:t>
      </w:r>
      <w:r>
        <w:rPr>
          <w:rFonts w:ascii="方正仿宋_GBK" w:hAnsi="方正仿宋_GBK" w:eastAsia="方正仿宋_GBK" w:cs="方正仿宋_GBK"/>
          <w:sz w:val="32"/>
          <w:szCs w:val="32"/>
          <w:shd w:val="clear" w:color="auto" w:fill="FFFFFF"/>
        </w:rPr>
        <w:t>2023年度未发生因公出国（境）经费支出。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公务车购置费0.00万元，本单位2023年度未发生公务车购置费支出。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公务车运行维护费0.00万元，本单位2022年度未发生公务车运行维护费支出。公务接待费0.00万元，本单位2023年度未发生公务接待费支出。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本年度会议费支出0.00</w:t>
      </w:r>
      <w:r>
        <w:rPr>
          <w:rFonts w:ascii="方正仿宋_GBK" w:hAnsi="方正仿宋_GBK" w:eastAsia="方正仿宋_GBK" w:cs="方正仿宋_GBK"/>
          <w:sz w:val="32"/>
          <w:szCs w:val="32"/>
          <w:shd w:val="clear" w:color="auto" w:fill="FFFFFF"/>
        </w:rPr>
        <w:t>万元，较上年决算数无增减，主要原因是节约会议费、压缩公用经费支出</w:t>
      </w:r>
      <w:r>
        <w:rPr>
          <w:rFonts w:ascii="方正仿宋_GBK" w:hAnsi="方正仿宋_GBK" w:eastAsia="方正仿宋_GBK" w:cs="方正仿宋_GBK"/>
          <w:sz w:val="32"/>
          <w:szCs w:val="32"/>
          <w:shd w:val="clear" w:color="auto" w:fill="FFFFFF"/>
        </w:rPr>
        <w:t>。本年度培训费支出0.91</w:t>
      </w:r>
      <w:r>
        <w:rPr>
          <w:rFonts w:ascii="方正仿宋_GBK" w:hAnsi="方正仿宋_GBK" w:eastAsia="方正仿宋_GBK" w:cs="方正仿宋_GBK"/>
          <w:sz w:val="32"/>
          <w:szCs w:val="32"/>
          <w:shd w:val="clear" w:color="auto" w:fill="FFFFFF"/>
        </w:rPr>
        <w:t>万元，较上年决算数增加0.79万元，增长658.33%，主要原因是本年度培训人数培训次数增加。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2023年度本部门机关运行经费支出0.00万元，按照部门决算列报口径，我单位不在机关运行经费统计范围之内。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numPr>
          <w:ilvl w:val="0"/>
          <w:numId w:val="1"/>
        </w:numP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政府采购支出情况说明</w:t>
      </w:r>
    </w:p>
    <w:p>
      <w:pPr>
        <w:pStyle w:val="11"/>
        <w:autoSpaceDE w:val="0"/>
        <w:ind w:firstLine="640"/>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p>
    <w:p>
      <w:pPr>
        <w:pStyle w:val="6"/>
        <w:numPr>
          <w:ilvl w:val="0"/>
          <w:numId w:val="2"/>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Style w:val="16"/>
          <w:rFonts w:hint="eastAsia" w:ascii="仿宋" w:hAnsi="仿宋" w:eastAsia="仿宋" w:cs="仿宋"/>
          <w:bCs/>
          <w:sz w:val="32"/>
          <w:szCs w:val="32"/>
          <w:shd w:val="clear" w:color="auto" w:fill="FFFFFF"/>
        </w:rPr>
      </w:pPr>
      <w:r>
        <w:rPr>
          <w:rFonts w:ascii="方正仿宋_GBK" w:hAnsi="方正仿宋_GBK" w:eastAsia="方正仿宋_GBK" w:cs="方正仿宋_GBK"/>
          <w:sz w:val="32"/>
          <w:szCs w:val="32"/>
          <w:shd w:val="clear" w:color="auto" w:fill="FFFFFF"/>
        </w:rPr>
        <w:t>根据预算绩效管理要求，我单位对一个二级项目开展了绩效自评，涉及财政拨款项目支出资金10.72万元，</w:t>
      </w:r>
      <w:r>
        <w:rPr>
          <w:rFonts w:hint="eastAsia" w:ascii="方正仿宋_GBK" w:hAnsi="方正仿宋_GBK" w:eastAsia="方正仿宋_GBK" w:cs="方正仿宋_GBK"/>
          <w:sz w:val="32"/>
          <w:szCs w:val="32"/>
          <w:shd w:val="clear" w:color="auto" w:fill="FFFFFF"/>
        </w:rPr>
        <w:t>从评价情况来看，本年度项目资金完全按照计划合理使用，使我校教育教学质量得到进一步提高，并促进了学生身心的健康发展。</w:t>
      </w:r>
    </w:p>
    <w:tbl>
      <w:tblPr>
        <w:tblStyle w:val="7"/>
        <w:tblW w:w="8438" w:type="dxa"/>
        <w:tblInd w:w="93" w:type="dxa"/>
        <w:tblLayout w:type="fixed"/>
        <w:tblCellMar>
          <w:top w:w="0" w:type="dxa"/>
          <w:left w:w="108" w:type="dxa"/>
          <w:bottom w:w="0" w:type="dxa"/>
          <w:right w:w="108" w:type="dxa"/>
        </w:tblCellMar>
      </w:tblPr>
      <w:tblGrid>
        <w:gridCol w:w="948"/>
        <w:gridCol w:w="764"/>
        <w:gridCol w:w="592"/>
        <w:gridCol w:w="620"/>
        <w:gridCol w:w="1024"/>
        <w:gridCol w:w="1061"/>
        <w:gridCol w:w="620"/>
        <w:gridCol w:w="641"/>
        <w:gridCol w:w="542"/>
        <w:gridCol w:w="553"/>
        <w:gridCol w:w="1073"/>
      </w:tblGrid>
      <w:tr>
        <w:tblPrEx>
          <w:tblLayout w:type="fixed"/>
          <w:tblCellMar>
            <w:top w:w="0" w:type="dxa"/>
            <w:left w:w="108" w:type="dxa"/>
            <w:bottom w:w="0" w:type="dxa"/>
            <w:right w:w="108" w:type="dxa"/>
          </w:tblCellMar>
        </w:tblPrEx>
        <w:trPr>
          <w:trHeight w:val="270" w:hRule="atLeast"/>
        </w:trPr>
        <w:tc>
          <w:tcPr>
            <w:tcW w:w="8438"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2023年度二级项目绩效自评表</w:t>
            </w:r>
          </w:p>
        </w:tc>
      </w:tr>
      <w:tr>
        <w:tblPrEx>
          <w:tblLayout w:type="fixed"/>
          <w:tblCellMar>
            <w:top w:w="0" w:type="dxa"/>
            <w:left w:w="108" w:type="dxa"/>
            <w:bottom w:w="0" w:type="dxa"/>
            <w:right w:w="108" w:type="dxa"/>
          </w:tblCellMar>
        </w:tblPrEx>
        <w:trPr>
          <w:trHeight w:val="270" w:hRule="atLeast"/>
        </w:trPr>
        <w:tc>
          <w:tcPr>
            <w:tcW w:w="8438"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21" w:firstLineChars="100"/>
              <w:jc w:val="right"/>
              <w:rPr>
                <w:rFonts w:hint="default" w:cs="宋体"/>
                <w:b/>
                <w:bCs/>
                <w:color w:val="DA3232"/>
                <w:sz w:val="22"/>
                <w:szCs w:val="22"/>
              </w:rPr>
            </w:pPr>
            <w:r>
              <w:rPr>
                <w:rFonts w:cs="宋体"/>
                <w:b/>
                <w:bCs/>
                <w:color w:val="DA3232"/>
                <w:sz w:val="22"/>
                <w:szCs w:val="22"/>
              </w:rPr>
              <w:t>状态：业务审核已审</w:t>
            </w:r>
          </w:p>
        </w:tc>
      </w:tr>
      <w:tr>
        <w:tblPrEx>
          <w:tblLayout w:type="fixed"/>
          <w:tblCellMar>
            <w:top w:w="0" w:type="dxa"/>
            <w:left w:w="108" w:type="dxa"/>
            <w:bottom w:w="0" w:type="dxa"/>
            <w:right w:w="108" w:type="dxa"/>
          </w:tblCellMar>
        </w:tblPrEx>
        <w:trPr>
          <w:trHeight w:val="270"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项目名称：</w:t>
            </w:r>
          </w:p>
        </w:tc>
        <w:tc>
          <w:tcPr>
            <w:tcW w:w="1356"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学前教育营养改善计划市级补助资金</w:t>
            </w:r>
          </w:p>
        </w:tc>
        <w:tc>
          <w:tcPr>
            <w:tcW w:w="62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项目编码：</w:t>
            </w:r>
          </w:p>
        </w:tc>
        <w:tc>
          <w:tcPr>
            <w:tcW w:w="2085"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50023823T000003493746</w:t>
            </w:r>
          </w:p>
        </w:tc>
        <w:tc>
          <w:tcPr>
            <w:tcW w:w="62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自评总分：</w:t>
            </w:r>
          </w:p>
        </w:tc>
        <w:tc>
          <w:tcPr>
            <w:tcW w:w="1183"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100.00</w:t>
            </w:r>
          </w:p>
        </w:tc>
        <w:tc>
          <w:tcPr>
            <w:tcW w:w="55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　</w:t>
            </w:r>
          </w:p>
        </w:tc>
        <w:tc>
          <w:tcPr>
            <w:tcW w:w="1073" w:type="dxa"/>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项目主管部门：</w:t>
            </w:r>
          </w:p>
        </w:tc>
        <w:tc>
          <w:tcPr>
            <w:tcW w:w="1356"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042-巫溪县教育委员会</w:t>
            </w:r>
          </w:p>
        </w:tc>
        <w:tc>
          <w:tcPr>
            <w:tcW w:w="62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财政归口处室：</w:t>
            </w:r>
          </w:p>
        </w:tc>
        <w:tc>
          <w:tcPr>
            <w:tcW w:w="2085"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005-行财科</w:t>
            </w:r>
          </w:p>
        </w:tc>
        <w:tc>
          <w:tcPr>
            <w:tcW w:w="620"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部门联系人：</w:t>
            </w:r>
          </w:p>
        </w:tc>
        <w:tc>
          <w:tcPr>
            <w:tcW w:w="1183" w:type="dxa"/>
            <w:gridSpan w:val="2"/>
            <w:tcBorders>
              <w:top w:val="single" w:color="auto" w:sz="4" w:space="0"/>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黄曾</w:t>
            </w:r>
          </w:p>
        </w:tc>
        <w:tc>
          <w:tcPr>
            <w:tcW w:w="553" w:type="dxa"/>
            <w:tcBorders>
              <w:top w:val="nil"/>
              <w:left w:val="nil"/>
              <w:bottom w:val="single" w:color="auto" w:sz="4" w:space="0"/>
              <w:right w:val="single" w:color="auto" w:sz="4" w:space="0"/>
            </w:tcBorders>
            <w:shd w:val="clear" w:color="auto" w:fill="auto"/>
            <w:noWrap/>
            <w:vAlign w:val="center"/>
          </w:tcPr>
          <w:p>
            <w:pPr>
              <w:jc w:val="right"/>
              <w:rPr>
                <w:rFonts w:hint="default" w:cs="宋体"/>
                <w:b/>
                <w:bCs/>
                <w:color w:val="000000"/>
                <w:sz w:val="22"/>
                <w:szCs w:val="22"/>
              </w:rPr>
            </w:pPr>
            <w:r>
              <w:rPr>
                <w:rFonts w:cs="宋体"/>
                <w:b/>
                <w:bCs/>
                <w:color w:val="000000"/>
                <w:sz w:val="22"/>
                <w:szCs w:val="22"/>
              </w:rPr>
              <w:t>联系电话：</w:t>
            </w:r>
          </w:p>
        </w:tc>
        <w:tc>
          <w:tcPr>
            <w:tcW w:w="1073" w:type="dxa"/>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15223711849</w:t>
            </w:r>
          </w:p>
        </w:tc>
      </w:tr>
      <w:tr>
        <w:tblPrEx>
          <w:tblLayout w:type="fixed"/>
          <w:tblCellMar>
            <w:top w:w="0" w:type="dxa"/>
            <w:left w:w="108" w:type="dxa"/>
            <w:bottom w:w="0" w:type="dxa"/>
            <w:right w:w="108" w:type="dxa"/>
          </w:tblCellMar>
        </w:tblPrEx>
        <w:trPr>
          <w:trHeight w:val="270" w:hRule="atLeast"/>
        </w:trPr>
        <w:tc>
          <w:tcPr>
            <w:tcW w:w="8438"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资金情况</w:t>
            </w:r>
          </w:p>
        </w:tc>
      </w:tr>
      <w:tr>
        <w:tblPrEx>
          <w:tblLayout w:type="fixed"/>
          <w:tblCellMar>
            <w:top w:w="0" w:type="dxa"/>
            <w:left w:w="108" w:type="dxa"/>
            <w:bottom w:w="0" w:type="dxa"/>
            <w:right w:w="108" w:type="dxa"/>
          </w:tblCellMar>
        </w:tblPrEx>
        <w:trPr>
          <w:trHeight w:val="270" w:hRule="atLeast"/>
        </w:trPr>
        <w:tc>
          <w:tcPr>
            <w:tcW w:w="17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color w:val="000000"/>
                <w:sz w:val="22"/>
                <w:szCs w:val="22"/>
              </w:rPr>
            </w:pPr>
            <w:r>
              <w:rPr>
                <w:rFonts w:cs="宋体"/>
                <w:color w:val="000000"/>
                <w:sz w:val="22"/>
                <w:szCs w:val="22"/>
              </w:rPr>
              <w:t>　</w:t>
            </w:r>
          </w:p>
        </w:tc>
        <w:tc>
          <w:tcPr>
            <w:tcW w:w="1212"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年初预算数</w:t>
            </w:r>
          </w:p>
        </w:tc>
        <w:tc>
          <w:tcPr>
            <w:tcW w:w="2085"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全年（调整）预算数</w:t>
            </w: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全年执行数</w:t>
            </w:r>
          </w:p>
        </w:tc>
        <w:tc>
          <w:tcPr>
            <w:tcW w:w="542"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执行率</w:t>
            </w:r>
          </w:p>
        </w:tc>
        <w:tc>
          <w:tcPr>
            <w:tcW w:w="553" w:type="dxa"/>
            <w:tcBorders>
              <w:top w:val="nil"/>
              <w:left w:val="nil"/>
              <w:bottom w:val="single" w:color="auto" w:sz="4" w:space="0"/>
              <w:right w:val="single" w:color="auto" w:sz="4" w:space="0"/>
            </w:tcBorders>
            <w:shd w:val="clear" w:color="auto" w:fill="auto"/>
            <w:noWrap/>
            <w:vAlign w:val="center"/>
          </w:tcPr>
          <w:p>
            <w:pPr>
              <w:rPr>
                <w:rFonts w:hint="default" w:cs="宋体"/>
                <w:b/>
                <w:bCs/>
                <w:color w:val="000000"/>
                <w:sz w:val="22"/>
                <w:szCs w:val="22"/>
              </w:rPr>
            </w:pPr>
            <w:r>
              <w:rPr>
                <w:rFonts w:cs="宋体"/>
                <w:b/>
                <w:bCs/>
                <w:color w:val="000000"/>
                <w:sz w:val="22"/>
                <w:szCs w:val="22"/>
              </w:rPr>
              <w:t>执行率权重</w:t>
            </w:r>
          </w:p>
        </w:tc>
        <w:tc>
          <w:tcPr>
            <w:tcW w:w="1073"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执行率得分</w:t>
            </w:r>
          </w:p>
        </w:tc>
      </w:tr>
      <w:tr>
        <w:tblPrEx>
          <w:tblLayout w:type="fixed"/>
          <w:tblCellMar>
            <w:top w:w="0" w:type="dxa"/>
            <w:left w:w="108" w:type="dxa"/>
            <w:bottom w:w="0" w:type="dxa"/>
            <w:right w:w="108" w:type="dxa"/>
          </w:tblCellMar>
        </w:tblPrEx>
        <w:trPr>
          <w:trHeight w:val="270" w:hRule="atLeast"/>
        </w:trPr>
        <w:tc>
          <w:tcPr>
            <w:tcW w:w="948" w:type="dxa"/>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年度总金额</w:t>
            </w:r>
          </w:p>
        </w:tc>
        <w:tc>
          <w:tcPr>
            <w:tcW w:w="764"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592" w:type="dxa"/>
            <w:tcBorders>
              <w:top w:val="nil"/>
              <w:left w:val="nil"/>
              <w:bottom w:val="single" w:color="auto" w:sz="4" w:space="0"/>
              <w:right w:val="nil"/>
            </w:tcBorders>
            <w:shd w:val="clear" w:color="auto" w:fill="auto"/>
            <w:noWrap/>
            <w:vAlign w:val="center"/>
          </w:tcPr>
          <w:p>
            <w:pPr>
              <w:rPr>
                <w:rFonts w:hint="default" w:cs="宋体"/>
                <w:color w:val="000000"/>
                <w:sz w:val="21"/>
                <w:szCs w:val="21"/>
              </w:rPr>
            </w:pPr>
            <w:r>
              <w:rPr>
                <w:rFonts w:cs="宋体"/>
                <w:color w:val="000000"/>
                <w:sz w:val="21"/>
                <w:szCs w:val="21"/>
              </w:rPr>
              <w:t>　</w:t>
            </w:r>
          </w:p>
        </w:tc>
        <w:tc>
          <w:tcPr>
            <w:tcW w:w="62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1"/>
                <w:szCs w:val="21"/>
              </w:rPr>
            </w:pPr>
            <w:r>
              <w:rPr>
                <w:rFonts w:cs="宋体"/>
                <w:color w:val="000000"/>
                <w:sz w:val="21"/>
                <w:szCs w:val="21"/>
              </w:rPr>
              <w:t xml:space="preserve">87,900.00 </w:t>
            </w:r>
          </w:p>
        </w:tc>
        <w:tc>
          <w:tcPr>
            <w:tcW w:w="1024" w:type="dxa"/>
            <w:tcBorders>
              <w:top w:val="nil"/>
              <w:left w:val="nil"/>
              <w:bottom w:val="single" w:color="auto" w:sz="4" w:space="0"/>
              <w:right w:val="nil"/>
            </w:tcBorders>
            <w:shd w:val="clear" w:color="auto" w:fill="auto"/>
            <w:noWrap/>
            <w:vAlign w:val="center"/>
          </w:tcPr>
          <w:p>
            <w:pPr>
              <w:rPr>
                <w:rFonts w:hint="default" w:cs="宋体"/>
                <w:color w:val="000000"/>
                <w:sz w:val="21"/>
                <w:szCs w:val="21"/>
              </w:rPr>
            </w:pPr>
            <w:r>
              <w:rPr>
                <w:rFonts w:cs="宋体"/>
                <w:color w:val="000000"/>
                <w:sz w:val="21"/>
                <w:szCs w:val="21"/>
              </w:rPr>
              <w:t>　</w:t>
            </w:r>
          </w:p>
        </w:tc>
        <w:tc>
          <w:tcPr>
            <w:tcW w:w="1061"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1"/>
                <w:szCs w:val="21"/>
              </w:rPr>
            </w:pPr>
            <w:r>
              <w:rPr>
                <w:rFonts w:cs="宋体"/>
                <w:color w:val="000000"/>
                <w:sz w:val="21"/>
                <w:szCs w:val="21"/>
              </w:rPr>
              <w:t xml:space="preserve">107,200.00 </w:t>
            </w:r>
          </w:p>
        </w:tc>
        <w:tc>
          <w:tcPr>
            <w:tcW w:w="620" w:type="dxa"/>
            <w:tcBorders>
              <w:top w:val="nil"/>
              <w:left w:val="nil"/>
              <w:bottom w:val="single" w:color="auto" w:sz="4" w:space="0"/>
              <w:right w:val="nil"/>
            </w:tcBorders>
            <w:shd w:val="clear" w:color="auto" w:fill="auto"/>
            <w:noWrap/>
            <w:vAlign w:val="center"/>
          </w:tcPr>
          <w:p>
            <w:pPr>
              <w:rPr>
                <w:rFonts w:hint="default" w:cs="宋体"/>
                <w:color w:val="000000"/>
                <w:sz w:val="21"/>
                <w:szCs w:val="21"/>
              </w:rPr>
            </w:pPr>
            <w:r>
              <w:rPr>
                <w:rFonts w:cs="宋体"/>
                <w:color w:val="000000"/>
                <w:sz w:val="21"/>
                <w:szCs w:val="21"/>
              </w:rPr>
              <w:t>　</w:t>
            </w:r>
          </w:p>
        </w:tc>
        <w:tc>
          <w:tcPr>
            <w:tcW w:w="64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1"/>
                <w:szCs w:val="21"/>
              </w:rPr>
            </w:pPr>
            <w:r>
              <w:rPr>
                <w:rFonts w:cs="宋体"/>
                <w:color w:val="000000"/>
                <w:sz w:val="21"/>
                <w:szCs w:val="21"/>
              </w:rPr>
              <w:t xml:space="preserve">107,200.00 </w:t>
            </w:r>
          </w:p>
        </w:tc>
        <w:tc>
          <w:tcPr>
            <w:tcW w:w="542"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1"/>
                <w:szCs w:val="21"/>
              </w:rPr>
            </w:pPr>
            <w:r>
              <w:rPr>
                <w:rFonts w:cs="宋体"/>
                <w:color w:val="000000"/>
                <w:sz w:val="21"/>
                <w:szCs w:val="21"/>
              </w:rPr>
              <w:t>　</w:t>
            </w:r>
          </w:p>
        </w:tc>
        <w:tc>
          <w:tcPr>
            <w:tcW w:w="553"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1"/>
                <w:szCs w:val="21"/>
              </w:rPr>
            </w:pPr>
            <w:r>
              <w:rPr>
                <w:rFonts w:cs="宋体"/>
                <w:color w:val="000000"/>
                <w:sz w:val="21"/>
                <w:szCs w:val="21"/>
              </w:rPr>
              <w:t>　</w:t>
            </w:r>
          </w:p>
        </w:tc>
        <w:tc>
          <w:tcPr>
            <w:tcW w:w="1073" w:type="dxa"/>
            <w:tcBorders>
              <w:top w:val="nil"/>
              <w:left w:val="nil"/>
              <w:bottom w:val="single" w:color="auto" w:sz="4" w:space="0"/>
              <w:right w:val="single" w:color="auto" w:sz="4" w:space="0"/>
            </w:tcBorders>
            <w:shd w:val="clear" w:color="auto" w:fill="auto"/>
            <w:noWrap/>
            <w:vAlign w:val="center"/>
          </w:tcPr>
          <w:p>
            <w:pPr>
              <w:ind w:firstLine="210" w:firstLineChars="100"/>
              <w:jc w:val="right"/>
              <w:rPr>
                <w:rFonts w:hint="default" w:cs="宋体"/>
                <w:sz w:val="21"/>
                <w:szCs w:val="21"/>
              </w:rPr>
            </w:pPr>
            <w:r>
              <w:rPr>
                <w:rFonts w:cs="宋体"/>
                <w:sz w:val="21"/>
                <w:szCs w:val="21"/>
              </w:rPr>
              <w:t>　</w:t>
            </w:r>
          </w:p>
        </w:tc>
      </w:tr>
      <w:tr>
        <w:tblPrEx>
          <w:tblLayout w:type="fixed"/>
          <w:tblCellMar>
            <w:top w:w="0" w:type="dxa"/>
            <w:left w:w="108" w:type="dxa"/>
            <w:bottom w:w="0" w:type="dxa"/>
            <w:right w:w="108" w:type="dxa"/>
          </w:tblCellMar>
        </w:tblPrEx>
        <w:trPr>
          <w:trHeight w:val="270" w:hRule="atLeast"/>
        </w:trPr>
        <w:tc>
          <w:tcPr>
            <w:tcW w:w="948" w:type="dxa"/>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其中：财政拨款</w:t>
            </w:r>
          </w:p>
        </w:tc>
        <w:tc>
          <w:tcPr>
            <w:tcW w:w="764"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592" w:type="dxa"/>
            <w:tcBorders>
              <w:top w:val="nil"/>
              <w:left w:val="nil"/>
              <w:bottom w:val="single" w:color="auto" w:sz="4" w:space="0"/>
              <w:right w:val="nil"/>
            </w:tcBorders>
            <w:shd w:val="clear" w:color="auto" w:fill="auto"/>
            <w:noWrap/>
            <w:vAlign w:val="center"/>
          </w:tcPr>
          <w:p>
            <w:pPr>
              <w:rPr>
                <w:rFonts w:hint="default" w:cs="宋体"/>
                <w:color w:val="000000"/>
                <w:sz w:val="21"/>
                <w:szCs w:val="21"/>
              </w:rPr>
            </w:pPr>
            <w:r>
              <w:rPr>
                <w:rFonts w:cs="宋体"/>
                <w:color w:val="000000"/>
                <w:sz w:val="21"/>
                <w:szCs w:val="21"/>
              </w:rPr>
              <w:t>　</w:t>
            </w:r>
          </w:p>
        </w:tc>
        <w:tc>
          <w:tcPr>
            <w:tcW w:w="62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1"/>
                <w:szCs w:val="21"/>
              </w:rPr>
            </w:pPr>
            <w:r>
              <w:rPr>
                <w:rFonts w:cs="宋体"/>
                <w:color w:val="000000"/>
                <w:sz w:val="21"/>
                <w:szCs w:val="21"/>
              </w:rPr>
              <w:t xml:space="preserve">87,900.00 </w:t>
            </w:r>
          </w:p>
        </w:tc>
        <w:tc>
          <w:tcPr>
            <w:tcW w:w="1024" w:type="dxa"/>
            <w:tcBorders>
              <w:top w:val="nil"/>
              <w:left w:val="nil"/>
              <w:bottom w:val="single" w:color="auto" w:sz="4" w:space="0"/>
              <w:right w:val="nil"/>
            </w:tcBorders>
            <w:shd w:val="clear" w:color="auto" w:fill="auto"/>
            <w:noWrap/>
            <w:vAlign w:val="center"/>
          </w:tcPr>
          <w:p>
            <w:pPr>
              <w:rPr>
                <w:rFonts w:hint="default" w:cs="宋体"/>
                <w:color w:val="000000"/>
                <w:sz w:val="21"/>
                <w:szCs w:val="21"/>
              </w:rPr>
            </w:pPr>
            <w:r>
              <w:rPr>
                <w:rFonts w:cs="宋体"/>
                <w:color w:val="000000"/>
                <w:sz w:val="21"/>
                <w:szCs w:val="21"/>
              </w:rPr>
              <w:t>　</w:t>
            </w:r>
          </w:p>
        </w:tc>
        <w:tc>
          <w:tcPr>
            <w:tcW w:w="1061"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1"/>
                <w:szCs w:val="21"/>
              </w:rPr>
            </w:pPr>
            <w:r>
              <w:rPr>
                <w:rFonts w:cs="宋体"/>
                <w:color w:val="000000"/>
                <w:sz w:val="21"/>
                <w:szCs w:val="21"/>
              </w:rPr>
              <w:t xml:space="preserve">107,200.00 </w:t>
            </w:r>
          </w:p>
        </w:tc>
        <w:tc>
          <w:tcPr>
            <w:tcW w:w="620" w:type="dxa"/>
            <w:tcBorders>
              <w:top w:val="nil"/>
              <w:left w:val="nil"/>
              <w:bottom w:val="single" w:color="auto" w:sz="4" w:space="0"/>
              <w:right w:val="nil"/>
            </w:tcBorders>
            <w:shd w:val="clear" w:color="auto" w:fill="auto"/>
            <w:noWrap/>
            <w:vAlign w:val="center"/>
          </w:tcPr>
          <w:p>
            <w:pPr>
              <w:rPr>
                <w:rFonts w:hint="default" w:cs="宋体"/>
                <w:color w:val="000000"/>
                <w:sz w:val="21"/>
                <w:szCs w:val="21"/>
              </w:rPr>
            </w:pPr>
            <w:r>
              <w:rPr>
                <w:rFonts w:cs="宋体"/>
                <w:color w:val="000000"/>
                <w:sz w:val="21"/>
                <w:szCs w:val="21"/>
              </w:rPr>
              <w:t>　</w:t>
            </w:r>
          </w:p>
        </w:tc>
        <w:tc>
          <w:tcPr>
            <w:tcW w:w="64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1"/>
                <w:szCs w:val="21"/>
              </w:rPr>
            </w:pPr>
            <w:r>
              <w:rPr>
                <w:rFonts w:cs="宋体"/>
                <w:color w:val="000000"/>
                <w:sz w:val="21"/>
                <w:szCs w:val="21"/>
              </w:rPr>
              <w:t xml:space="preserve">107,200.00 </w:t>
            </w:r>
          </w:p>
        </w:tc>
        <w:tc>
          <w:tcPr>
            <w:tcW w:w="54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1"/>
                <w:szCs w:val="21"/>
              </w:rPr>
            </w:pPr>
            <w:r>
              <w:rPr>
                <w:rFonts w:cs="宋体"/>
                <w:color w:val="000000"/>
                <w:sz w:val="21"/>
                <w:szCs w:val="21"/>
              </w:rPr>
              <w:t>100</w:t>
            </w:r>
          </w:p>
        </w:tc>
        <w:tc>
          <w:tcPr>
            <w:tcW w:w="553"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1"/>
                <w:szCs w:val="21"/>
              </w:rPr>
            </w:pPr>
            <w:r>
              <w:rPr>
                <w:rFonts w:cs="宋体"/>
                <w:color w:val="000000"/>
                <w:sz w:val="21"/>
                <w:szCs w:val="21"/>
              </w:rPr>
              <w:t>10.00</w:t>
            </w:r>
          </w:p>
        </w:tc>
        <w:tc>
          <w:tcPr>
            <w:tcW w:w="1073" w:type="dxa"/>
            <w:tcBorders>
              <w:top w:val="nil"/>
              <w:left w:val="nil"/>
              <w:bottom w:val="single" w:color="auto" w:sz="4" w:space="0"/>
              <w:right w:val="single" w:color="auto" w:sz="4" w:space="0"/>
            </w:tcBorders>
            <w:shd w:val="clear" w:color="auto" w:fill="auto"/>
            <w:noWrap/>
            <w:vAlign w:val="center"/>
          </w:tcPr>
          <w:p>
            <w:pPr>
              <w:ind w:firstLine="210" w:firstLineChars="100"/>
              <w:jc w:val="right"/>
              <w:rPr>
                <w:rFonts w:hint="default" w:cs="宋体"/>
                <w:sz w:val="21"/>
                <w:szCs w:val="21"/>
              </w:rPr>
            </w:pPr>
            <w:r>
              <w:rPr>
                <w:rFonts w:cs="宋体"/>
                <w:sz w:val="21"/>
                <w:szCs w:val="21"/>
              </w:rPr>
              <w:t>10.00</w:t>
            </w:r>
          </w:p>
        </w:tc>
      </w:tr>
      <w:tr>
        <w:tblPrEx>
          <w:tblLayout w:type="fixed"/>
          <w:tblCellMar>
            <w:top w:w="0" w:type="dxa"/>
            <w:left w:w="108" w:type="dxa"/>
            <w:bottom w:w="0" w:type="dxa"/>
            <w:right w:w="108" w:type="dxa"/>
          </w:tblCellMar>
        </w:tblPrEx>
        <w:trPr>
          <w:trHeight w:val="270" w:hRule="atLeast"/>
        </w:trPr>
        <w:tc>
          <w:tcPr>
            <w:tcW w:w="948" w:type="dxa"/>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一般公共预算</w:t>
            </w:r>
          </w:p>
        </w:tc>
        <w:tc>
          <w:tcPr>
            <w:tcW w:w="764"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2"/>
                <w:szCs w:val="22"/>
              </w:rPr>
            </w:pPr>
            <w:r>
              <w:rPr>
                <w:rFonts w:cs="宋体"/>
                <w:color w:val="000000"/>
                <w:sz w:val="22"/>
                <w:szCs w:val="22"/>
              </w:rPr>
              <w:t>　</w:t>
            </w:r>
          </w:p>
        </w:tc>
        <w:tc>
          <w:tcPr>
            <w:tcW w:w="592" w:type="dxa"/>
            <w:tcBorders>
              <w:top w:val="nil"/>
              <w:left w:val="nil"/>
              <w:bottom w:val="single" w:color="auto" w:sz="4" w:space="0"/>
              <w:right w:val="nil"/>
            </w:tcBorders>
            <w:shd w:val="clear" w:color="auto" w:fill="auto"/>
            <w:noWrap/>
            <w:vAlign w:val="center"/>
          </w:tcPr>
          <w:p>
            <w:pPr>
              <w:rPr>
                <w:rFonts w:hint="default" w:cs="宋体"/>
                <w:color w:val="000000"/>
                <w:sz w:val="21"/>
                <w:szCs w:val="21"/>
              </w:rPr>
            </w:pPr>
            <w:r>
              <w:rPr>
                <w:rFonts w:cs="宋体"/>
                <w:color w:val="000000"/>
                <w:sz w:val="21"/>
                <w:szCs w:val="21"/>
              </w:rPr>
              <w:t>　</w:t>
            </w:r>
          </w:p>
        </w:tc>
        <w:tc>
          <w:tcPr>
            <w:tcW w:w="620"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1"/>
                <w:szCs w:val="21"/>
              </w:rPr>
            </w:pPr>
            <w:r>
              <w:rPr>
                <w:rFonts w:cs="宋体"/>
                <w:color w:val="000000"/>
                <w:sz w:val="21"/>
                <w:szCs w:val="21"/>
              </w:rPr>
              <w:t xml:space="preserve">87,900.00 </w:t>
            </w:r>
          </w:p>
        </w:tc>
        <w:tc>
          <w:tcPr>
            <w:tcW w:w="1024" w:type="dxa"/>
            <w:tcBorders>
              <w:top w:val="nil"/>
              <w:left w:val="nil"/>
              <w:bottom w:val="single" w:color="auto" w:sz="4" w:space="0"/>
              <w:right w:val="nil"/>
            </w:tcBorders>
            <w:shd w:val="clear" w:color="auto" w:fill="auto"/>
            <w:noWrap/>
            <w:vAlign w:val="center"/>
          </w:tcPr>
          <w:p>
            <w:pPr>
              <w:rPr>
                <w:rFonts w:hint="default" w:cs="宋体"/>
                <w:color w:val="000000"/>
                <w:sz w:val="21"/>
                <w:szCs w:val="21"/>
              </w:rPr>
            </w:pPr>
            <w:r>
              <w:rPr>
                <w:rFonts w:cs="宋体"/>
                <w:color w:val="000000"/>
                <w:sz w:val="21"/>
                <w:szCs w:val="21"/>
              </w:rPr>
              <w:t>　</w:t>
            </w:r>
          </w:p>
        </w:tc>
        <w:tc>
          <w:tcPr>
            <w:tcW w:w="1061"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1"/>
                <w:szCs w:val="21"/>
              </w:rPr>
            </w:pPr>
            <w:r>
              <w:rPr>
                <w:rFonts w:cs="宋体"/>
                <w:color w:val="000000"/>
                <w:sz w:val="21"/>
                <w:szCs w:val="21"/>
              </w:rPr>
              <w:t xml:space="preserve">107,200.00 </w:t>
            </w:r>
          </w:p>
        </w:tc>
        <w:tc>
          <w:tcPr>
            <w:tcW w:w="620" w:type="dxa"/>
            <w:tcBorders>
              <w:top w:val="nil"/>
              <w:left w:val="nil"/>
              <w:bottom w:val="single" w:color="auto" w:sz="4" w:space="0"/>
              <w:right w:val="nil"/>
            </w:tcBorders>
            <w:shd w:val="clear" w:color="auto" w:fill="auto"/>
            <w:noWrap/>
            <w:vAlign w:val="center"/>
          </w:tcPr>
          <w:p>
            <w:pPr>
              <w:rPr>
                <w:rFonts w:hint="default" w:cs="宋体"/>
                <w:color w:val="000000"/>
                <w:sz w:val="21"/>
                <w:szCs w:val="21"/>
              </w:rPr>
            </w:pPr>
            <w:r>
              <w:rPr>
                <w:rFonts w:cs="宋体"/>
                <w:color w:val="000000"/>
                <w:sz w:val="21"/>
                <w:szCs w:val="21"/>
              </w:rPr>
              <w:t>　</w:t>
            </w:r>
          </w:p>
        </w:tc>
        <w:tc>
          <w:tcPr>
            <w:tcW w:w="641"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1"/>
                <w:szCs w:val="21"/>
              </w:rPr>
            </w:pPr>
            <w:r>
              <w:rPr>
                <w:rFonts w:cs="宋体"/>
                <w:color w:val="000000"/>
                <w:sz w:val="21"/>
                <w:szCs w:val="21"/>
              </w:rPr>
              <w:t xml:space="preserve">107,200.00 </w:t>
            </w:r>
          </w:p>
        </w:tc>
        <w:tc>
          <w:tcPr>
            <w:tcW w:w="542" w:type="dxa"/>
            <w:tcBorders>
              <w:top w:val="nil"/>
              <w:left w:val="nil"/>
              <w:bottom w:val="single" w:color="auto" w:sz="4" w:space="0"/>
              <w:right w:val="single" w:color="auto" w:sz="4" w:space="0"/>
            </w:tcBorders>
            <w:shd w:val="clear" w:color="auto" w:fill="auto"/>
            <w:noWrap/>
            <w:vAlign w:val="center"/>
          </w:tcPr>
          <w:p>
            <w:pPr>
              <w:jc w:val="right"/>
              <w:rPr>
                <w:rFonts w:hint="default" w:cs="宋体"/>
                <w:color w:val="000000"/>
                <w:sz w:val="21"/>
                <w:szCs w:val="21"/>
              </w:rPr>
            </w:pPr>
            <w:r>
              <w:rPr>
                <w:rFonts w:cs="宋体"/>
                <w:color w:val="000000"/>
                <w:sz w:val="21"/>
                <w:szCs w:val="21"/>
              </w:rPr>
              <w:t>100</w:t>
            </w:r>
          </w:p>
        </w:tc>
        <w:tc>
          <w:tcPr>
            <w:tcW w:w="553" w:type="dxa"/>
            <w:tcBorders>
              <w:top w:val="nil"/>
              <w:left w:val="nil"/>
              <w:bottom w:val="single" w:color="auto" w:sz="4" w:space="0"/>
              <w:right w:val="single" w:color="auto" w:sz="4" w:space="0"/>
            </w:tcBorders>
            <w:shd w:val="clear" w:color="auto" w:fill="auto"/>
            <w:noWrap/>
            <w:vAlign w:val="center"/>
          </w:tcPr>
          <w:p>
            <w:pPr>
              <w:rPr>
                <w:rFonts w:hint="default" w:cs="宋体"/>
                <w:color w:val="000000"/>
                <w:sz w:val="21"/>
                <w:szCs w:val="21"/>
              </w:rPr>
            </w:pPr>
            <w:r>
              <w:rPr>
                <w:rFonts w:cs="宋体"/>
                <w:color w:val="000000"/>
                <w:sz w:val="21"/>
                <w:szCs w:val="21"/>
              </w:rPr>
              <w:t>　</w:t>
            </w:r>
          </w:p>
        </w:tc>
        <w:tc>
          <w:tcPr>
            <w:tcW w:w="1073" w:type="dxa"/>
            <w:tcBorders>
              <w:top w:val="nil"/>
              <w:left w:val="nil"/>
              <w:bottom w:val="single" w:color="auto" w:sz="4" w:space="0"/>
              <w:right w:val="single" w:color="auto" w:sz="4" w:space="0"/>
            </w:tcBorders>
            <w:shd w:val="clear" w:color="auto" w:fill="auto"/>
            <w:noWrap/>
            <w:vAlign w:val="center"/>
          </w:tcPr>
          <w:p>
            <w:pPr>
              <w:ind w:firstLine="210" w:firstLineChars="100"/>
              <w:jc w:val="right"/>
              <w:rPr>
                <w:rFonts w:hint="default" w:cs="宋体"/>
                <w:sz w:val="21"/>
                <w:szCs w:val="21"/>
              </w:rPr>
            </w:pPr>
            <w:r>
              <w:rPr>
                <w:rFonts w:cs="宋体"/>
                <w:sz w:val="21"/>
                <w:szCs w:val="21"/>
              </w:rPr>
              <w:t>　</w:t>
            </w:r>
          </w:p>
        </w:tc>
      </w:tr>
      <w:tr>
        <w:tblPrEx>
          <w:tblLayout w:type="fixed"/>
          <w:tblCellMar>
            <w:top w:w="0" w:type="dxa"/>
            <w:left w:w="108" w:type="dxa"/>
            <w:bottom w:w="0" w:type="dxa"/>
            <w:right w:w="108" w:type="dxa"/>
          </w:tblCellMar>
        </w:tblPrEx>
        <w:trPr>
          <w:trHeight w:val="270" w:hRule="atLeast"/>
        </w:trPr>
        <w:tc>
          <w:tcPr>
            <w:tcW w:w="8438"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绩效目标</w:t>
            </w:r>
          </w:p>
        </w:tc>
      </w:tr>
      <w:tr>
        <w:tblPrEx>
          <w:tblLayout w:type="fixed"/>
          <w:tblCellMar>
            <w:top w:w="0" w:type="dxa"/>
            <w:left w:w="108" w:type="dxa"/>
            <w:bottom w:w="0" w:type="dxa"/>
            <w:right w:w="108" w:type="dxa"/>
          </w:tblCellMar>
        </w:tblPrEx>
        <w:trPr>
          <w:trHeight w:val="270" w:hRule="atLeast"/>
        </w:trPr>
        <w:tc>
          <w:tcPr>
            <w:tcW w:w="292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年初绩效目标</w:t>
            </w:r>
          </w:p>
        </w:tc>
        <w:tc>
          <w:tcPr>
            <w:tcW w:w="3346"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全年（调整）绩效目标</w:t>
            </w:r>
          </w:p>
        </w:tc>
        <w:tc>
          <w:tcPr>
            <w:tcW w:w="2168"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全年目标实际完成情况</w:t>
            </w:r>
          </w:p>
        </w:tc>
      </w:tr>
      <w:tr>
        <w:tblPrEx>
          <w:tblLayout w:type="fixed"/>
          <w:tblCellMar>
            <w:top w:w="0" w:type="dxa"/>
            <w:left w:w="108" w:type="dxa"/>
            <w:bottom w:w="0" w:type="dxa"/>
            <w:right w:w="108" w:type="dxa"/>
          </w:tblCellMar>
        </w:tblPrEx>
        <w:trPr>
          <w:trHeight w:val="270" w:hRule="atLeast"/>
        </w:trPr>
        <w:tc>
          <w:tcPr>
            <w:tcW w:w="2924" w:type="dxa"/>
            <w:gridSpan w:val="4"/>
            <w:tcBorders>
              <w:top w:val="single" w:color="auto" w:sz="4" w:space="0"/>
              <w:left w:val="single" w:color="auto" w:sz="4" w:space="0"/>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t>做好我校学前教育营养改善工作，把对农村学前教育学生营养餐补助的惠民政策落到实处，切实改善我校学生膳食营养状况，增强学生素质，促进学生健康成长。</w:t>
            </w:r>
          </w:p>
        </w:tc>
        <w:tc>
          <w:tcPr>
            <w:tcW w:w="3346" w:type="dxa"/>
            <w:gridSpan w:val="4"/>
            <w:tcBorders>
              <w:top w:val="single" w:color="auto" w:sz="4" w:space="0"/>
              <w:left w:val="nil"/>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t>做好我校学前教育营养改善工作，把对农村学前教育学生营养餐补助的惠民政策落到实处，切实改善我校学生膳食营养状况，增强学生素质，促进学生健康成长。</w:t>
            </w:r>
          </w:p>
        </w:tc>
        <w:tc>
          <w:tcPr>
            <w:tcW w:w="2168" w:type="dxa"/>
            <w:gridSpan w:val="3"/>
            <w:tcBorders>
              <w:top w:val="single" w:color="auto" w:sz="4" w:space="0"/>
              <w:left w:val="nil"/>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t>做好我校学前教育营养改善工作，把对农村学前教育学生营养餐补助的惠民政策落到实处，切实改善我校学生膳食营养状况，增强学生素质，促进学生健康成长。</w:t>
            </w:r>
            <w:r>
              <w:rPr>
                <w:rFonts w:cs="宋体"/>
                <w:color w:val="000000"/>
                <w:sz w:val="22"/>
                <w:szCs w:val="22"/>
              </w:rPr>
              <w:br w:type="textWrapping"/>
            </w:r>
            <w:r>
              <w:rPr>
                <w:rFonts w:cs="宋体"/>
                <w:color w:val="000000"/>
                <w:sz w:val="22"/>
                <w:szCs w:val="22"/>
              </w:rPr>
              <w:br w:type="textWrapping"/>
            </w:r>
            <w:r>
              <w:rPr>
                <w:rFonts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8438"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绩效指标</w:t>
            </w:r>
          </w:p>
        </w:tc>
      </w:tr>
      <w:tr>
        <w:tblPrEx>
          <w:tblLayout w:type="fixed"/>
          <w:tblCellMar>
            <w:top w:w="0" w:type="dxa"/>
            <w:left w:w="108" w:type="dxa"/>
            <w:bottom w:w="0" w:type="dxa"/>
            <w:right w:w="108" w:type="dxa"/>
          </w:tblCellMar>
        </w:tblPrEx>
        <w:trPr>
          <w:trHeight w:val="270"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指标名称</w:t>
            </w:r>
          </w:p>
        </w:tc>
        <w:tc>
          <w:tcPr>
            <w:tcW w:w="764"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计量单位</w:t>
            </w:r>
          </w:p>
        </w:tc>
        <w:tc>
          <w:tcPr>
            <w:tcW w:w="592"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指标性质</w:t>
            </w:r>
          </w:p>
        </w:tc>
        <w:tc>
          <w:tcPr>
            <w:tcW w:w="620"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指标值</w:t>
            </w:r>
          </w:p>
        </w:tc>
        <w:tc>
          <w:tcPr>
            <w:tcW w:w="1024"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全年完成值</w:t>
            </w:r>
          </w:p>
        </w:tc>
        <w:tc>
          <w:tcPr>
            <w:tcW w:w="1061"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偏离度（%）</w:t>
            </w:r>
          </w:p>
        </w:tc>
        <w:tc>
          <w:tcPr>
            <w:tcW w:w="620"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得分系数（%）</w:t>
            </w:r>
          </w:p>
        </w:tc>
        <w:tc>
          <w:tcPr>
            <w:tcW w:w="641"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指标权重</w:t>
            </w:r>
          </w:p>
        </w:tc>
        <w:tc>
          <w:tcPr>
            <w:tcW w:w="542"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指标得分</w:t>
            </w:r>
          </w:p>
        </w:tc>
        <w:tc>
          <w:tcPr>
            <w:tcW w:w="553"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是否核心指标</w:t>
            </w:r>
          </w:p>
        </w:tc>
        <w:tc>
          <w:tcPr>
            <w:tcW w:w="1073" w:type="dxa"/>
            <w:tcBorders>
              <w:top w:val="nil"/>
              <w:left w:val="nil"/>
              <w:bottom w:val="single" w:color="auto" w:sz="4" w:space="0"/>
              <w:right w:val="single" w:color="auto" w:sz="4" w:space="0"/>
            </w:tcBorders>
            <w:shd w:val="clear" w:color="auto" w:fill="auto"/>
            <w:noWrap/>
            <w:vAlign w:val="center"/>
          </w:tcPr>
          <w:p>
            <w:pPr>
              <w:jc w:val="center"/>
              <w:rPr>
                <w:rFonts w:hint="default" w:cs="宋体"/>
                <w:b/>
                <w:bCs/>
                <w:color w:val="000000"/>
                <w:sz w:val="22"/>
                <w:szCs w:val="22"/>
              </w:rPr>
            </w:pPr>
            <w:r>
              <w:rPr>
                <w:rFonts w:cs="宋体"/>
                <w:b/>
                <w:bCs/>
                <w:color w:val="000000"/>
                <w:sz w:val="22"/>
                <w:szCs w:val="22"/>
              </w:rPr>
              <w:t>说明</w:t>
            </w:r>
          </w:p>
        </w:tc>
      </w:tr>
      <w:tr>
        <w:tblPrEx>
          <w:tblLayout w:type="fixed"/>
          <w:tblCellMar>
            <w:top w:w="0" w:type="dxa"/>
            <w:left w:w="108" w:type="dxa"/>
            <w:bottom w:w="0" w:type="dxa"/>
            <w:right w:w="108" w:type="dxa"/>
          </w:tblCellMar>
        </w:tblPrEx>
        <w:trPr>
          <w:trHeight w:val="270"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补助学生人数</w:t>
            </w:r>
          </w:p>
        </w:tc>
        <w:tc>
          <w:tcPr>
            <w:tcW w:w="764"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人</w:t>
            </w:r>
          </w:p>
        </w:tc>
        <w:tc>
          <w:tcPr>
            <w:tcW w:w="592"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620"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139</w:t>
            </w:r>
          </w:p>
        </w:tc>
        <w:tc>
          <w:tcPr>
            <w:tcW w:w="1024"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139</w:t>
            </w:r>
          </w:p>
        </w:tc>
        <w:tc>
          <w:tcPr>
            <w:tcW w:w="1061"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620"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641"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542"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553"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1073"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人均补助标准</w:t>
            </w:r>
          </w:p>
        </w:tc>
        <w:tc>
          <w:tcPr>
            <w:tcW w:w="764"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元/人·次</w:t>
            </w:r>
          </w:p>
        </w:tc>
        <w:tc>
          <w:tcPr>
            <w:tcW w:w="592"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620"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4</w:t>
            </w:r>
          </w:p>
        </w:tc>
        <w:tc>
          <w:tcPr>
            <w:tcW w:w="1024"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4</w:t>
            </w:r>
          </w:p>
        </w:tc>
        <w:tc>
          <w:tcPr>
            <w:tcW w:w="1061"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620"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641"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542"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553"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1073"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补助政策知晓率</w:t>
            </w:r>
          </w:p>
        </w:tc>
        <w:tc>
          <w:tcPr>
            <w:tcW w:w="764"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592"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620"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80</w:t>
            </w:r>
          </w:p>
        </w:tc>
        <w:tc>
          <w:tcPr>
            <w:tcW w:w="1024"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80</w:t>
            </w:r>
          </w:p>
        </w:tc>
        <w:tc>
          <w:tcPr>
            <w:tcW w:w="1061"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620"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641"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542"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553"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1073"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983"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改善学生营养、增强学生体质</w:t>
            </w:r>
          </w:p>
        </w:tc>
        <w:tc>
          <w:tcPr>
            <w:tcW w:w="764"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592"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定性</w:t>
            </w:r>
          </w:p>
        </w:tc>
        <w:tc>
          <w:tcPr>
            <w:tcW w:w="620"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有效改善</w:t>
            </w:r>
          </w:p>
        </w:tc>
        <w:tc>
          <w:tcPr>
            <w:tcW w:w="1024"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w:t>
            </w:r>
          </w:p>
        </w:tc>
        <w:tc>
          <w:tcPr>
            <w:tcW w:w="1061"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620"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641"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30</w:t>
            </w:r>
          </w:p>
        </w:tc>
        <w:tc>
          <w:tcPr>
            <w:tcW w:w="542"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30</w:t>
            </w:r>
          </w:p>
        </w:tc>
        <w:tc>
          <w:tcPr>
            <w:tcW w:w="553"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1073"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948" w:type="dxa"/>
            <w:tcBorders>
              <w:top w:val="nil"/>
              <w:left w:val="single" w:color="auto" w:sz="4" w:space="0"/>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学生及家长满意度</w:t>
            </w:r>
          </w:p>
        </w:tc>
        <w:tc>
          <w:tcPr>
            <w:tcW w:w="764"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592"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w:t>
            </w:r>
          </w:p>
        </w:tc>
        <w:tc>
          <w:tcPr>
            <w:tcW w:w="620"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1024"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1061"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620"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641"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542" w:type="dxa"/>
            <w:tcBorders>
              <w:top w:val="nil"/>
              <w:left w:val="nil"/>
              <w:bottom w:val="single" w:color="auto" w:sz="4" w:space="0"/>
              <w:right w:val="single" w:color="auto" w:sz="4" w:space="0"/>
            </w:tcBorders>
            <w:shd w:val="clear" w:color="auto" w:fill="auto"/>
            <w:noWrap/>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553"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c>
          <w:tcPr>
            <w:tcW w:w="1073" w:type="dxa"/>
            <w:tcBorders>
              <w:top w:val="nil"/>
              <w:left w:val="nil"/>
              <w:bottom w:val="single" w:color="auto" w:sz="4" w:space="0"/>
              <w:right w:val="single" w:color="auto" w:sz="4" w:space="0"/>
            </w:tcBorders>
            <w:shd w:val="clear" w:color="auto" w:fill="auto"/>
            <w:noWrap/>
            <w:vAlign w:val="center"/>
          </w:tcPr>
          <w:p>
            <w:pPr>
              <w:ind w:firstLine="220" w:firstLineChars="100"/>
              <w:rPr>
                <w:rFonts w:hint="default" w:cs="宋体"/>
                <w:color w:val="000000"/>
                <w:sz w:val="22"/>
                <w:szCs w:val="22"/>
              </w:rPr>
            </w:pPr>
            <w:r>
              <w:rPr>
                <w:rFonts w:cs="宋体"/>
                <w:color w:val="000000"/>
                <w:sz w:val="22"/>
                <w:szCs w:val="22"/>
              </w:rPr>
              <w:t>　</w:t>
            </w:r>
          </w:p>
        </w:tc>
      </w:tr>
    </w:tbl>
    <w:p>
      <w:pPr>
        <w:pStyle w:val="11"/>
        <w:autoSpaceDE w:val="0"/>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（二）单位绩效评价结果</w:t>
      </w:r>
    </w:p>
    <w:p>
      <w:pPr>
        <w:pStyle w:val="11"/>
        <w:shd w:val="clear"/>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单位未组织开展绩效评价。</w:t>
      </w:r>
    </w:p>
    <w:p>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shd w:val="clear"/>
        <w:autoSpaceDE w:val="0"/>
        <w:ind w:firstLine="643"/>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bookmarkStart w:id="0" w:name="_GoBack"/>
      <w:bookmarkEnd w:id="0"/>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left="641" w:leftChars="267"/>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黄老师：15223711849</w:t>
      </w: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重庆市巫溪县尖山幼儿园</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297.31</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251.47</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23.36</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9.69</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12.79</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297.31</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297.31</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297.31</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297.31</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重庆市巫溪县尖山幼儿园</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297.31</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297.31</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251.47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251.47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251.47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251.47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251.47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251.47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重庆市巫溪县尖山幼儿园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297.31</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234.41</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62.90</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251.47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188.57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62.90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251.47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188.57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62.90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251.47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188.57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62.90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重庆市巫溪县尖山幼儿园</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297.31</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251.47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251.47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297.31</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297.31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297.31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297.31</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297.31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297.31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重庆市巫溪县尖山幼儿园</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297.31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234.41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62.90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251.47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188.57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62.90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251.47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188.57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62.90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251.47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188.57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62.90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23.36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23.36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23.36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23.36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15.58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15.58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9.69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9.69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9.69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9.69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9.69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9.69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12.79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12.79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12.79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12.79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12.79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12.79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重庆市巫溪县尖山幼儿园</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231.98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51.96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16.43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117.19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231.98</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2.44</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重庆市巫溪县尖山幼儿园</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重庆市巫溪县尖山幼儿园</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重庆市巫溪县尖山幼儿园</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0.91</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- 8 -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13 -</w:t>
                </w:r>
                <w:r>
                  <w:rPr>
                    <w:rFonts w:hint="default"/>
                  </w:rP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E80E52"/>
    <w:multiLevelType w:val="singleLevel"/>
    <w:tmpl w:val="91E80E52"/>
    <w:lvl w:ilvl="0" w:tentative="0">
      <w:start w:val="4"/>
      <w:numFmt w:val="chineseCounting"/>
      <w:suff w:val="nothing"/>
      <w:lvlText w:val="（%1）"/>
      <w:lvlJc w:val="left"/>
      <w:rPr>
        <w:rFonts w:hint="eastAsia"/>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ExMjVmZTc0ODU3YzIxMzVmOTgxMzkyNzVjNjJmNDcifQ=="/>
  </w:docVars>
  <w:rsids>
    <w:rsidRoot w:val="00B03CCD"/>
    <w:rsid w:val="0019407D"/>
    <w:rsid w:val="001D3BB7"/>
    <w:rsid w:val="002B254B"/>
    <w:rsid w:val="00466C9B"/>
    <w:rsid w:val="00550ABE"/>
    <w:rsid w:val="00770383"/>
    <w:rsid w:val="007819D4"/>
    <w:rsid w:val="007B419D"/>
    <w:rsid w:val="007B7C4B"/>
    <w:rsid w:val="007D3D39"/>
    <w:rsid w:val="0090622A"/>
    <w:rsid w:val="009502AB"/>
    <w:rsid w:val="00994AF7"/>
    <w:rsid w:val="009B67B8"/>
    <w:rsid w:val="009D2B67"/>
    <w:rsid w:val="00A051AD"/>
    <w:rsid w:val="00A566F9"/>
    <w:rsid w:val="00AF2751"/>
    <w:rsid w:val="00B024EF"/>
    <w:rsid w:val="00B03CCD"/>
    <w:rsid w:val="00B90728"/>
    <w:rsid w:val="00BB6AA5"/>
    <w:rsid w:val="00BE2B89"/>
    <w:rsid w:val="00C10E9E"/>
    <w:rsid w:val="00C20C3E"/>
    <w:rsid w:val="00F21839"/>
    <w:rsid w:val="00F73F90"/>
    <w:rsid w:val="01474EBF"/>
    <w:rsid w:val="01F3521E"/>
    <w:rsid w:val="03B87EA0"/>
    <w:rsid w:val="03E3214F"/>
    <w:rsid w:val="044C50BA"/>
    <w:rsid w:val="05BC6D49"/>
    <w:rsid w:val="06194FF1"/>
    <w:rsid w:val="066E7A77"/>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9446C6"/>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5FBF5074"/>
    <w:rsid w:val="5FD555CE"/>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18"/>
    <w:basedOn w:val="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1939</Words>
  <Characters>11054</Characters>
  <Lines>92</Lines>
  <Paragraphs>25</Paragraphs>
  <TotalTime>0</TotalTime>
  <ScaleCrop>false</ScaleCrop>
  <LinksUpToDate>false</LinksUpToDate>
  <CharactersWithSpaces>12968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2024-09-25T03:21:00Z</dcterms:created>
  <dc:creator>Administrator</dc:creator>
  <cp:lastModifiedBy>Administrator</cp:lastModifiedBy>
  <dcterms:modified xsi:type="dcterms:W3CDTF">2024-09-27T03:24:28Z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58F66D7960A2426796E140519C844D6C_13</vt:lpwstr>
  </property>
</Properties>
</file>