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重庆市巫溪县民政局2023年度决算公开说明</w:t>
      </w:r>
    </w:p>
    <w:p>
      <w:pPr>
        <w:keepNext w:val="0"/>
        <w:keepLines w:val="0"/>
        <w:pageBreakBefore w:val="0"/>
        <w:widowControl/>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一、部门基本情况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巫溪县民政局主要贯彻执行民政工作法律、法规和方针政策，研究提出全区民政事业发展规划，并负责组织实施和监督检查。</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承担依法对全区性社团、跨镇乡（街道）社团、基金会、民办非企业单位进行登记、管理和监察的责任。</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监督社团活动、查处社团组织的违法行为和未经登记而以社团名义开展活动的社团组织。</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负责区级单位所属和挂靠的民办非企业单位的登记和年度检查；会同有关部门对民办非企业单位实施监督、管理。</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建立和实施全区城乡居民最低生活保障制度；负责城乡居民最低生活保障、临时救助、生活无着人员救助工作；组织和指导扶贫济困等社会互助活动；承担社会福利募捐和社会救济工作，协助落实对福利企业扶持、保护政策。</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研究提出加强和改进全区城乡基层群众自治建设、社区建设的意见和建议；指导村（居）民委员会民主选举、民主管理和民主监督工作，推动村务公开和基层民主政治建设；拟订社区建设规划和社区服务管理办法及促进发展的政策措施，指导社区服务体系建设，推动社区建设、发展。</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拟订全区行政区划总体规划；承担镇乡（街道）和村（居）委行政区域的设立、撤销、调整、更名和界线变更及政府驻地迁移的审核呈报；承担重要的地理实体的地名命名、更名的审核报批；规范全区地名标志的设置和管理；负责全区标准地名图书资料的审定。</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承担组织、协调、指导镇乡（街道）级行政区域界线勘定和管理；负责镇乡（街道）及以下边界争议的调查和调处。</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拟订促进慈善事业、社会福利事业发展规划和各类福利设施标准，并组织实施；负责城市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和农村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五保老人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的供养和管理工作；负责社会办养老机构的管理；推进慈善事业发展。研究提出福利彩票发行规划，并对其管理；管理本级福利资金，监督指导全区福利资金的管理使用。</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贯彻执行婚姻登记管理、殡葬管理和儿童收养的政策，指导婚姻、殡葬和儿童收养服务机构管理工作；负责推进婚俗和殡葬改革。</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组织拟订全县社会工作发展规划、政策和职业规范，推进社会工作人才队伍建设和相关志愿者队伍建设。</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巫溪县民政局内设机构有：办公室、社会事务科（福利科）、社会救助科、基层政权和社区治理科。</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1.总体情况。2023年度收入总计18287.30万元，支出总计18287.30万元。收支较上年决算数增加1534.82万元，增长9.16%，主要原因是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其他生活救助等惠民资金收入。</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2.收入情况。2023年度收入合计18287.30万元，较上年决算数增加1534.82万元，增长9.16%，主要原因是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其他生活救助等惠民资金收入。</w:t>
      </w:r>
      <w:r>
        <w:rPr>
          <w:rFonts w:hint="default" w:ascii="Times New Roman" w:hAnsi="Times New Roman" w:eastAsia="方正仿宋_GBK" w:cs="Times New Roman"/>
          <w:sz w:val="32"/>
          <w:szCs w:val="32"/>
        </w:rPr>
        <w:t>其中：财政拨款收入18287.30万元，占100.0%；此外，使用非财政拨款结余和专用结余0.00万元，年初结转和结余0.00万元。</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3.支出情况。2023年度支出合计18287.30万元，较上年决算数增加1534.82万元，增长9.16%，主要原因是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其他生活救助等惠民资金支出。</w:t>
      </w:r>
      <w:r>
        <w:rPr>
          <w:rFonts w:hint="default" w:ascii="Times New Roman" w:hAnsi="Times New Roman" w:eastAsia="方正仿宋_GBK" w:cs="Times New Roman"/>
          <w:sz w:val="32"/>
          <w:szCs w:val="32"/>
        </w:rPr>
        <w:t>其中：基本支出622.16万元，占3.4%；项目支出17665.14万元，占96.6%。此外，结余分配0.00万元。</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rPr>
        <w:t>4.结转结余情况。2023年度年末结转和结余0.00万元，较上年决算数无增减</w:t>
      </w:r>
      <w:r>
        <w:rPr>
          <w:rFonts w:hint="eastAsia" w:ascii="Times New Roman" w:hAnsi="Times New Roman" w:eastAsia="方正仿宋_GBK" w:cs="Times New Roman"/>
          <w:sz w:val="32"/>
          <w:szCs w:val="32"/>
          <w:lang w:eastAsia="zh-CN"/>
        </w:rPr>
        <w:t>，主要原因是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2023年部门预算执行结余零结转。</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2023年度财政拨款收、支总计18287.30万元。与2022年相比，财政拨款收、支总计各增加1534.82万元，增长9.16%。主要原因是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1.收入情况。2023年度一般公共预算财政拨款收入17873.45万元，较上年决算数增加2051.11万元，增长12.96%。主要原因是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w:t>
      </w:r>
      <w:r>
        <w:rPr>
          <w:rFonts w:hint="default" w:ascii="Times New Roman" w:hAnsi="Times New Roman" w:eastAsia="方正仿宋_GBK" w:cs="Times New Roman"/>
          <w:sz w:val="32"/>
          <w:szCs w:val="32"/>
        </w:rPr>
        <w:t>较年初预算数增加609.75万元，增长3.53%。主要原因是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w:t>
      </w:r>
      <w:r>
        <w:rPr>
          <w:rFonts w:hint="default" w:ascii="Times New Roman" w:hAnsi="Times New Roman" w:eastAsia="方正仿宋_GBK" w:cs="Times New Roman"/>
          <w:sz w:val="32"/>
          <w:szCs w:val="32"/>
        </w:rPr>
        <w:t>此外，年初财政拨款结转和结余0.00万元。</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2.支出情况。2023年度一般公共预算财政拨款支出17873.45万元，较上年决算数增加2051.11万元，增长12.96%。</w:t>
      </w:r>
      <w:r>
        <w:rPr>
          <w:rFonts w:hint="default" w:ascii="Times New Roman" w:hAnsi="Times New Roman" w:eastAsia="方正仿宋_GBK" w:cs="Times New Roman"/>
          <w:sz w:val="32"/>
          <w:szCs w:val="32"/>
          <w:lang w:eastAsia="zh-CN"/>
        </w:rPr>
        <w:t>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其他生活救助等惠民资金支出。</w:t>
      </w:r>
      <w:r>
        <w:rPr>
          <w:rFonts w:hint="default" w:ascii="Times New Roman" w:hAnsi="Times New Roman" w:eastAsia="方正仿宋_GBK" w:cs="Times New Roman"/>
          <w:sz w:val="32"/>
          <w:szCs w:val="32"/>
        </w:rPr>
        <w:t>较年初预算数增加609.75万元，增长3.53%。主要原因是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3.结转结余情况。2023年度年末一般公共预算财政拨款结转和结余0.00万元，较上年决算数无增减</w:t>
      </w:r>
      <w:r>
        <w:rPr>
          <w:rFonts w:hint="eastAsia" w:ascii="Times New Roman" w:hAnsi="Times New Roman" w:eastAsia="方正仿宋_GBK" w:cs="Times New Roman"/>
          <w:sz w:val="32"/>
          <w:szCs w:val="32"/>
          <w:lang w:eastAsia="zh-CN"/>
        </w:rPr>
        <w:t>，主要原因是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2023年部门预算执行结余零结转。</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4.比较情况。本部门2023年度一般公共预算财政拨款支出主要用于以下几个方面：</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）社会保障与就业支出17818.59万元，占99.69%，较年初预算数增加609.75万元，增长3.54%，主要原因是</w:t>
      </w:r>
      <w:r>
        <w:rPr>
          <w:rFonts w:hint="default" w:ascii="Times New Roman" w:hAnsi="Times New Roman" w:eastAsia="方正仿宋_GBK" w:cs="Times New Roman"/>
          <w:sz w:val="32"/>
          <w:szCs w:val="32"/>
          <w:lang w:eastAsia="zh-CN"/>
        </w:rPr>
        <w:t>增加了临时救助、特困人员</w:t>
      </w:r>
      <w:r>
        <w:rPr>
          <w:rFonts w:hint="eastAsia" w:ascii="Times New Roman" w:hAnsi="Times New Roman" w:eastAsia="方正仿宋_GBK" w:cs="Times New Roman"/>
          <w:sz w:val="32"/>
          <w:szCs w:val="32"/>
          <w:lang w:eastAsia="zh-CN"/>
        </w:rPr>
        <w:t>基本生活费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特困人员照料护理补贴、</w:t>
      </w:r>
      <w:r>
        <w:rPr>
          <w:rFonts w:hint="default" w:ascii="Times New Roman" w:hAnsi="Times New Roman" w:eastAsia="方正仿宋_GBK" w:cs="Times New Roman"/>
          <w:sz w:val="32"/>
          <w:szCs w:val="32"/>
          <w:lang w:eastAsia="zh-CN"/>
        </w:rPr>
        <w:t>其他生活救助等惠民资金支出。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）卫生健康支出20.89万元，占0.12%，较年初预算数无增减，</w:t>
      </w:r>
      <w:r>
        <w:rPr>
          <w:rFonts w:hint="default" w:ascii="Times New Roman" w:hAnsi="Times New Roman" w:eastAsia="方正仿宋_GBK" w:cs="Times New Roman"/>
          <w:sz w:val="32"/>
          <w:szCs w:val="32"/>
          <w:lang w:val="en-US" w:eastAsia="zh-CN"/>
        </w:rPr>
        <w:t>与年初预算基本持平。</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）住房保障支出33.97万元，占0.19%，较年初预算数无增减，</w:t>
      </w:r>
      <w:r>
        <w:rPr>
          <w:rFonts w:hint="default" w:ascii="Times New Roman" w:hAnsi="Times New Roman" w:eastAsia="方正仿宋_GBK" w:cs="Times New Roman"/>
          <w:sz w:val="32"/>
          <w:szCs w:val="32"/>
          <w:lang w:val="en-US" w:eastAsia="zh-CN"/>
        </w:rPr>
        <w:t>与年初预算基本持平。</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2023年度一般公共财政拨款基本支出622.16万元。其中：人员经费539.12万元，较上年决算数减少234.92万元，下降30.35%，主要原因是</w:t>
      </w:r>
      <w:r>
        <w:rPr>
          <w:rFonts w:hint="default" w:ascii="Times New Roman" w:hAnsi="Times New Roman" w:eastAsia="方正仿宋_GBK" w:cs="Times New Roman"/>
          <w:sz w:val="32"/>
          <w:szCs w:val="32"/>
          <w:lang w:eastAsia="zh-CN"/>
        </w:rPr>
        <w:t>本年人员减少，</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val="en-US" w:eastAsia="zh-CN"/>
        </w:rPr>
        <w:t>基本工资、津贴补贴、奖金、社会保障缴费、住房公积金等。</w:t>
      </w:r>
      <w:r>
        <w:rPr>
          <w:rFonts w:hint="default" w:ascii="Times New Roman" w:hAnsi="Times New Roman" w:eastAsia="方正仿宋_GBK" w:cs="Times New Roman"/>
          <w:sz w:val="32"/>
          <w:szCs w:val="32"/>
        </w:rPr>
        <w:t>公用经费83.04万元，较上年决算数减少137.13万元，下降62.28%，主要原因是</w:t>
      </w:r>
      <w:r>
        <w:rPr>
          <w:rFonts w:hint="default" w:ascii="Times New Roman" w:hAnsi="Times New Roman" w:eastAsia="方正仿宋_GBK" w:cs="Times New Roman"/>
          <w:sz w:val="32"/>
          <w:szCs w:val="32"/>
          <w:lang w:eastAsia="zh-CN"/>
        </w:rPr>
        <w:t>落实过紧日子要求，厉行节约，从严控制经费支出。</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val="en-US" w:eastAsia="zh-CN"/>
        </w:rPr>
        <w:t>办公费、邮电费、印刷费、差旅费、维修费等。</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2023年度政府性基金预算财政拨款年初结转结余0.00万元，年末结转结余0.00万元。本年收入413.85万元，较上年决算数减少516.30万元，下降55.51%，主要原因是</w:t>
      </w:r>
      <w:r>
        <w:rPr>
          <w:rFonts w:hint="default" w:ascii="Times New Roman" w:hAnsi="Times New Roman" w:eastAsia="方正仿宋_GBK" w:cs="Times New Roman"/>
          <w:sz w:val="32"/>
          <w:szCs w:val="32"/>
          <w:lang w:val="en-US" w:eastAsia="zh-CN"/>
        </w:rPr>
        <w:t>本年度减少其他政府性基金及对应专项债务收入安排的收入。</w:t>
      </w:r>
      <w:r>
        <w:rPr>
          <w:rFonts w:hint="default" w:ascii="Times New Roman" w:hAnsi="Times New Roman" w:eastAsia="方正仿宋_GBK" w:cs="Times New Roman"/>
          <w:sz w:val="32"/>
          <w:szCs w:val="32"/>
        </w:rPr>
        <w:t>本年支出413.85万元，较上年决算数减少516.30万元，下降55.51%，主要原因是</w:t>
      </w:r>
      <w:r>
        <w:rPr>
          <w:rFonts w:hint="default" w:ascii="Times New Roman" w:hAnsi="Times New Roman" w:eastAsia="方正仿宋_GBK" w:cs="Times New Roman"/>
          <w:sz w:val="32"/>
          <w:szCs w:val="32"/>
          <w:lang w:val="en-US" w:eastAsia="zh-CN"/>
        </w:rPr>
        <w:t>本年度减少其他政府性基金及对应专项债务收入安排的支出。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本部门202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年度无国有资本经营预算财政拨款支出。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经费支出总体情况说明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经费支出共计18.54万元，较年初预算数减少11.44万元，下降38.16%，主要原因是</w:t>
      </w:r>
      <w:r>
        <w:rPr>
          <w:rFonts w:hint="default" w:ascii="Times New Roman" w:hAnsi="Times New Roman" w:eastAsia="方正仿宋_GBK" w:cs="Times New Roman"/>
          <w:sz w:val="32"/>
          <w:szCs w:val="32"/>
          <w:lang w:val="en-US" w:eastAsia="zh-CN"/>
        </w:rPr>
        <w:t>严格按照规定制定预算，缩减三公经费的支出。</w:t>
      </w:r>
      <w:r>
        <w:rPr>
          <w:rFonts w:hint="default" w:ascii="Times New Roman" w:hAnsi="Times New Roman" w:eastAsia="方正仿宋_GBK" w:cs="Times New Roman"/>
          <w:sz w:val="32"/>
          <w:szCs w:val="32"/>
        </w:rPr>
        <w:t>较上年支出数减少0.19万元，下降1.01%，主要原因是</w:t>
      </w:r>
      <w:r>
        <w:rPr>
          <w:rFonts w:hint="default" w:ascii="Times New Roman" w:hAnsi="Times New Roman" w:eastAsia="方正仿宋_GBK" w:cs="Times New Roman"/>
          <w:sz w:val="32"/>
          <w:szCs w:val="32"/>
          <w:lang w:eastAsia="zh-CN"/>
        </w:rPr>
        <w:t>落实过紧日子的要求、厉行节约、从严控制和压缩三公经费支出，从而减少了公务用车和公务接待支出。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经费分项支出情况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2023年度本部门因公出国（境）费用0.00万元，</w:t>
      </w:r>
      <w:r>
        <w:rPr>
          <w:rFonts w:hint="default" w:ascii="Times New Roman" w:hAnsi="Times New Roman" w:eastAsia="方正仿宋_GBK" w:cs="Times New Roman"/>
          <w:sz w:val="32"/>
          <w:szCs w:val="32"/>
          <w:lang w:val="en-US" w:eastAsia="zh-CN"/>
        </w:rPr>
        <w:t>2023年度未发生因公出国（境）费用。</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w:t>
      </w:r>
      <w:r>
        <w:rPr>
          <w:rFonts w:hint="default" w:ascii="Times New Roman" w:hAnsi="Times New Roman" w:eastAsia="方正仿宋_GBK" w:cs="Times New Roman"/>
          <w:sz w:val="32"/>
          <w:szCs w:val="32"/>
          <w:lang w:val="en-US" w:eastAsia="zh-CN"/>
        </w:rPr>
        <w:t>2023年度未发生公务车购置费。</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w:t>
      </w:r>
      <w:r>
        <w:rPr>
          <w:rFonts w:hint="eastAsia"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车运行维护费11.91万元，主要用于</w:t>
      </w:r>
      <w:r>
        <w:rPr>
          <w:rFonts w:hint="default" w:ascii="Times New Roman" w:hAnsi="Times New Roman" w:eastAsia="方正仿宋_GBK" w:cs="Times New Roman"/>
          <w:sz w:val="32"/>
          <w:szCs w:val="32"/>
          <w:lang w:val="en-US" w:eastAsia="zh-CN"/>
        </w:rPr>
        <w:t>市内因公出行，民政相关业务检查、督查等工作需要的燃料费、维修费、过桥过路费、保险费等。</w:t>
      </w:r>
      <w:r>
        <w:rPr>
          <w:rFonts w:hint="default" w:ascii="Times New Roman" w:hAnsi="Times New Roman" w:eastAsia="方正仿宋_GBK" w:cs="Times New Roman"/>
          <w:sz w:val="32"/>
          <w:szCs w:val="32"/>
        </w:rPr>
        <w:t>费用支出较年初预算数减少6.69万元，下降35.97%，主要原因是</w:t>
      </w:r>
      <w:r>
        <w:rPr>
          <w:rFonts w:hint="default" w:ascii="Times New Roman" w:hAnsi="Times New Roman" w:eastAsia="方正仿宋_GBK" w:cs="Times New Roman"/>
          <w:sz w:val="32"/>
          <w:szCs w:val="32"/>
          <w:lang w:val="en-US" w:eastAsia="zh-CN"/>
        </w:rPr>
        <w:t>严格按照规定控制车辆外出，减少不必要的派车。</w:t>
      </w:r>
      <w:r>
        <w:rPr>
          <w:rFonts w:hint="default" w:ascii="Times New Roman" w:hAnsi="Times New Roman" w:eastAsia="方正仿宋_GBK" w:cs="Times New Roman"/>
          <w:sz w:val="32"/>
          <w:szCs w:val="32"/>
        </w:rPr>
        <w:t>较上年支出数减少0.09万元，下降0.75%，主要原因是</w:t>
      </w:r>
      <w:r>
        <w:rPr>
          <w:rFonts w:hint="default" w:ascii="Times New Roman" w:hAnsi="Times New Roman" w:eastAsia="方正仿宋_GBK" w:cs="Times New Roman"/>
          <w:sz w:val="32"/>
          <w:szCs w:val="32"/>
          <w:lang w:val="en-US" w:eastAsia="zh-CN"/>
        </w:rPr>
        <w:t>严格按照规定控制车辆外出，减少不必要的派车。</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公务接待费6.63万元，主要用于接待</w:t>
      </w:r>
      <w:r>
        <w:rPr>
          <w:rFonts w:hint="default" w:ascii="Times New Roman" w:hAnsi="Times New Roman" w:eastAsia="方正仿宋_GBK" w:cs="Times New Roman"/>
          <w:sz w:val="32"/>
          <w:szCs w:val="32"/>
          <w:lang w:val="en-US" w:eastAsia="zh-CN"/>
        </w:rPr>
        <w:t>相关部门检查和指导工作及遣送救助人员的餐饮费。</w:t>
      </w:r>
      <w:r>
        <w:rPr>
          <w:rFonts w:hint="default" w:ascii="Times New Roman" w:hAnsi="Times New Roman" w:eastAsia="方正仿宋_GBK" w:cs="Times New Roman"/>
          <w:sz w:val="32"/>
          <w:szCs w:val="32"/>
        </w:rPr>
        <w:t>费用支出较年初预算数减少4.75万元，下降41.74%，主要原因是</w:t>
      </w:r>
      <w:r>
        <w:rPr>
          <w:rFonts w:hint="default" w:ascii="Times New Roman" w:hAnsi="Times New Roman" w:eastAsia="方正仿宋_GBK" w:cs="Times New Roman"/>
          <w:sz w:val="32"/>
          <w:szCs w:val="32"/>
          <w:lang w:val="en-US" w:eastAsia="zh-CN"/>
        </w:rPr>
        <w:t>严格控制公务接待费用的支出，减少非必要的接待。</w:t>
      </w:r>
      <w:r>
        <w:rPr>
          <w:rFonts w:hint="default" w:ascii="Times New Roman" w:hAnsi="Times New Roman" w:eastAsia="方正仿宋_GBK" w:cs="Times New Roman"/>
          <w:sz w:val="32"/>
          <w:szCs w:val="32"/>
        </w:rPr>
        <w:t>较上年支出数减少0.10万元，下降1.49%，主要原因是</w:t>
      </w:r>
      <w:r>
        <w:rPr>
          <w:rFonts w:hint="default" w:ascii="Times New Roman" w:hAnsi="Times New Roman" w:eastAsia="方正仿宋_GBK" w:cs="Times New Roman"/>
          <w:sz w:val="32"/>
          <w:szCs w:val="32"/>
          <w:lang w:val="en-US" w:eastAsia="zh-CN"/>
        </w:rPr>
        <w:t>严格控制公务接待费用的支出，减少非必要的接待。</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经费实物量情况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3辆；国内公务接待300批次1510人，其中：国内外事接待0批次，0人；国（境）外公务接待0批次，0人。2023年本部门人均接待费43.91元，车均购置费0万元，车均维护费3.97万元。</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本年度会议费支出0.00万元，较上年决算数减少2.81万元，下降100.0%，主要原因是</w:t>
      </w:r>
      <w:r>
        <w:rPr>
          <w:rFonts w:hint="default" w:ascii="Times New Roman" w:hAnsi="Times New Roman" w:eastAsia="方正仿宋_GBK" w:cs="Times New Roman"/>
          <w:sz w:val="32"/>
          <w:szCs w:val="32"/>
          <w:lang w:eastAsia="zh-CN"/>
        </w:rPr>
        <w:t>严格执行精文减会要求，会议频次减少，开展线上会议。</w:t>
      </w:r>
      <w:r>
        <w:rPr>
          <w:rFonts w:hint="default" w:ascii="Times New Roman" w:hAnsi="Times New Roman" w:eastAsia="方正仿宋_GBK" w:cs="Times New Roman"/>
          <w:sz w:val="32"/>
          <w:szCs w:val="32"/>
        </w:rPr>
        <w:t>本年度培训费支出2.00万元，较上年决算数减少3.60万元，下降64.29%，主要原因是</w:t>
      </w:r>
      <w:r>
        <w:rPr>
          <w:rFonts w:hint="default" w:ascii="Times New Roman" w:hAnsi="Times New Roman" w:eastAsia="方正仿宋_GBK" w:cs="Times New Roman"/>
          <w:sz w:val="32"/>
          <w:szCs w:val="32"/>
          <w:lang w:eastAsia="zh-CN"/>
        </w:rPr>
        <w:t>减少不必要的培训，多个培训内容一起进行。</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2023年度本部门机关运行经费支出83.04万元，机关运行经费主要用于开支</w:t>
      </w:r>
      <w:r>
        <w:rPr>
          <w:rFonts w:hint="default" w:ascii="Times New Roman" w:hAnsi="Times New Roman" w:eastAsia="方正仿宋_GBK" w:cs="Times New Roman"/>
          <w:sz w:val="32"/>
          <w:szCs w:val="32"/>
          <w:lang w:val="en-US" w:eastAsia="zh-CN"/>
        </w:rPr>
        <w:t>办公费9.57万元、印刷费0.22万元、咨询费0.10万元、水费1.00万元、电费2.14万元、邮电费10.09万元、差旅费10.60万元、维修（护）费4.78万元、租赁费1.74万元、培训费2.00万元、公务接待费6.63万元、劳务费1.00万元、工会经费1.31万元、福利费2.74万元、公务用车运行维护费11.91万元、其他交通费用13.50万元、其他商品和服务支出2.71万元。</w:t>
      </w:r>
      <w:r>
        <w:rPr>
          <w:rFonts w:hint="default" w:ascii="Times New Roman" w:hAnsi="Times New Roman" w:eastAsia="方正仿宋_GBK" w:cs="Times New Roman"/>
          <w:sz w:val="32"/>
          <w:szCs w:val="32"/>
        </w:rPr>
        <w:t>机关运行经费较上年支出数减少137.13万元，下降62.28%，主要原因是</w:t>
      </w:r>
      <w:r>
        <w:rPr>
          <w:rFonts w:hint="default" w:ascii="Times New Roman" w:hAnsi="Times New Roman" w:eastAsia="方正仿宋_GBK" w:cs="Times New Roman"/>
          <w:sz w:val="32"/>
          <w:szCs w:val="32"/>
          <w:lang w:eastAsia="zh-CN"/>
        </w:rPr>
        <w:t>办公费、邮电费等费用减少。</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3辆，其中，副部（省）级及以上领导用车0辆、主要负责人用车0辆、机要通信用车0辆、应急保障用车3辆、执法执勤用车0辆，特种专业技术用车0辆，离退休干部用车0辆。单价100万元（含）以上专用设备0台（套）。</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部门政府采购支出总额144.50万元，其中：政府采购货物支出0.00万元、政府采购工程支出0.00万元、政府采购服务支出144.50万元。授予中小企业合同金额144.50万元，占政府采购支出总额的100.0%，其中：授予小微企业合同金额144.50万元，占政府采购支出总额的100.0%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主要用于采购</w:t>
      </w:r>
      <w:r>
        <w:rPr>
          <w:rFonts w:hint="default" w:ascii="Times New Roman" w:hAnsi="Times New Roman" w:eastAsia="方正仿宋_GBK" w:cs="Times New Roman"/>
          <w:sz w:val="32"/>
          <w:szCs w:val="32"/>
          <w:lang w:eastAsia="zh-CN"/>
        </w:rPr>
        <w:t>工程项目。</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预算绩效管理情况说明</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（一）部门自评情况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根据预算绩效管理要求，</w:t>
      </w:r>
      <w:r>
        <w:rPr>
          <w:rFonts w:hint="default" w:ascii="Times New Roman" w:hAnsi="Times New Roman" w:eastAsia="方正仿宋_GBK" w:cs="Times New Roman"/>
          <w:sz w:val="32"/>
          <w:szCs w:val="32"/>
          <w:lang w:val="en-US" w:eastAsia="zh-CN"/>
        </w:rPr>
        <w:t>本部门对64个项目开展了绩效自评，其中对64个</w:t>
      </w:r>
      <w:r>
        <w:rPr>
          <w:rFonts w:hint="default" w:ascii="Times New Roman" w:hAnsi="Times New Roman" w:eastAsia="方正仿宋_GBK" w:cs="Times New Roman"/>
          <w:sz w:val="32"/>
          <w:szCs w:val="32"/>
        </w:rPr>
        <w:t>二级项目开展了绩效自评，涉及财政拨款项目支出资金</w:t>
      </w:r>
      <w:r>
        <w:rPr>
          <w:rFonts w:hint="eastAsia" w:ascii="Times New Roman" w:hAnsi="Times New Roman" w:eastAsia="方正仿宋_GBK" w:cs="Times New Roman"/>
          <w:sz w:val="32"/>
          <w:szCs w:val="32"/>
          <w:lang w:val="en-US" w:eastAsia="zh-CN"/>
        </w:rPr>
        <w:t>17251.29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从评价情况</w:t>
      </w:r>
      <w:r>
        <w:rPr>
          <w:rFonts w:hint="eastAsia" w:ascii="Times New Roman" w:hAnsi="Times New Roman" w:eastAsia="方正仿宋_GBK" w:cs="Times New Roman"/>
          <w:sz w:val="32"/>
          <w:szCs w:val="32"/>
          <w:lang w:val="en-US" w:eastAsia="zh-CN"/>
        </w:rPr>
        <w:t>看</w:t>
      </w:r>
      <w:r>
        <w:rPr>
          <w:rFonts w:hint="default" w:ascii="Times New Roman" w:hAnsi="Times New Roman" w:eastAsia="方正仿宋_GBK" w:cs="Times New Roman"/>
          <w:sz w:val="32"/>
          <w:szCs w:val="32"/>
          <w:lang w:val="en-US" w:eastAsia="zh-CN"/>
        </w:rPr>
        <w:t>，主要从服务全县城乡低保、特困人员救助、临时救助及时高效、救急解难等满意度作为绩效目标，达到预期效果。</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kern w:val="0"/>
          <w:sz w:val="32"/>
          <w:szCs w:val="32"/>
          <w:shd w:val="clear" w:color="auto" w:fill="FFFFFF"/>
          <w:lang w:val="en-US" w:eastAsia="zh-CN" w:bidi="ar"/>
        </w:rPr>
      </w:pPr>
      <w:r>
        <w:rPr>
          <w:rFonts w:hint="eastAsia" w:ascii="Times New Roman" w:hAnsi="Times New Roman" w:eastAsia="方正仿宋_GBK" w:cs="Times New Roman"/>
          <w:b w:val="0"/>
          <w:bCs/>
          <w:kern w:val="0"/>
          <w:sz w:val="32"/>
          <w:szCs w:val="32"/>
          <w:shd w:val="clear" w:color="auto" w:fill="FFFFFF"/>
          <w:lang w:val="en-US" w:eastAsia="zh-CN" w:bidi="ar"/>
        </w:rPr>
        <w:t>部门整体绩效自评表：</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kern w:val="0"/>
          <w:sz w:val="32"/>
          <w:szCs w:val="32"/>
          <w:shd w:val="clear" w:color="auto" w:fill="FFFFFF"/>
          <w:lang w:val="en-US" w:eastAsia="zh-CN" w:bidi="ar"/>
        </w:rPr>
      </w:pPr>
    </w:p>
    <w:tbl>
      <w:tblPr>
        <w:tblStyle w:val="7"/>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710"/>
        <w:gridCol w:w="719"/>
        <w:gridCol w:w="728"/>
        <w:gridCol w:w="767"/>
        <w:gridCol w:w="898"/>
        <w:gridCol w:w="737"/>
        <w:gridCol w:w="712"/>
        <w:gridCol w:w="709"/>
        <w:gridCol w:w="721"/>
        <w:gridCol w:w="725"/>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8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巫溪县民政局整体自评</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500238000</w:t>
            </w:r>
            <w:r>
              <w:rPr>
                <w:rFonts w:hint="eastAsia" w:cs="宋体"/>
                <w:i w:val="0"/>
                <w:iCs w:val="0"/>
                <w:color w:val="000000"/>
                <w:kern w:val="0"/>
                <w:sz w:val="16"/>
                <w:szCs w:val="16"/>
                <w:u w:val="none"/>
                <w:lang w:val="en-US" w:eastAsia="zh-CN" w:bidi="ar"/>
              </w:rPr>
              <w:t>23P000107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99.95</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16"/>
                <w:szCs w:val="16"/>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066-巫溪县民政局</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李昌怡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15123523101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8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194688258.09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189553225.48</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188653225.48</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eastAsia="zh-CN" w:bidi="ar-SA"/>
              </w:rPr>
            </w:pPr>
            <w:r>
              <w:rPr>
                <w:rFonts w:hint="eastAsia" w:cs="宋体"/>
                <w:i w:val="0"/>
                <w:iCs w:val="0"/>
                <w:color w:val="000000"/>
                <w:kern w:val="0"/>
                <w:sz w:val="16"/>
                <w:szCs w:val="16"/>
                <w:u w:val="none"/>
                <w:lang w:val="en-US" w:eastAsia="zh-CN" w:bidi="ar"/>
              </w:rPr>
              <w:t>194688258.09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eastAsia="zh-CN" w:bidi="ar-SA"/>
              </w:rPr>
            </w:pPr>
            <w:r>
              <w:rPr>
                <w:rFonts w:hint="eastAsia" w:cs="宋体"/>
                <w:i w:val="0"/>
                <w:iCs w:val="0"/>
                <w:color w:val="000000"/>
                <w:kern w:val="0"/>
                <w:sz w:val="16"/>
                <w:szCs w:val="16"/>
                <w:u w:val="none"/>
                <w:lang w:val="en-US" w:eastAsia="zh-CN" w:bidi="ar"/>
              </w:rPr>
              <w:t>189553225.48</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lang w:val="en-US" w:eastAsia="zh-CN" w:bidi="ar-SA"/>
              </w:rPr>
            </w:pPr>
            <w:r>
              <w:rPr>
                <w:rFonts w:hint="eastAsia" w:cs="宋体"/>
                <w:i w:val="0"/>
                <w:iCs w:val="0"/>
                <w:color w:val="000000"/>
                <w:kern w:val="0"/>
                <w:sz w:val="16"/>
                <w:szCs w:val="16"/>
                <w:u w:val="none"/>
                <w:lang w:val="en-US" w:eastAsia="zh-CN" w:bidi="ar"/>
              </w:rPr>
              <w:t>188653225.48</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99.53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cs="宋体"/>
                <w:i w:val="0"/>
                <w:iCs w:val="0"/>
                <w:color w:val="000000"/>
                <w:kern w:val="0"/>
                <w:sz w:val="16"/>
                <w:szCs w:val="16"/>
                <w:u w:val="none"/>
                <w:lang w:val="en-US" w:eastAsia="zh-CN" w:bidi="ar"/>
              </w:rPr>
              <w:t>一般公共预算</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宋体"/>
                <w:i w:val="0"/>
                <w:iCs w:val="0"/>
                <w:color w:val="000000"/>
                <w:kern w:val="0"/>
                <w:sz w:val="16"/>
                <w:szCs w:val="16"/>
                <w:u w:val="none"/>
                <w:lang w:val="en-US" w:eastAsia="zh-CN" w:bidi="ar"/>
              </w:rPr>
            </w:pPr>
            <w:r>
              <w:rPr>
                <w:rFonts w:hint="eastAsia" w:cs="宋体"/>
                <w:i w:val="0"/>
                <w:iCs w:val="0"/>
                <w:color w:val="000000"/>
                <w:kern w:val="0"/>
                <w:sz w:val="16"/>
                <w:szCs w:val="16"/>
                <w:u w:val="none"/>
                <w:lang w:val="en-US" w:eastAsia="zh-CN" w:bidi="ar"/>
              </w:rPr>
              <w:t>187062258.09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宋体"/>
                <w:i w:val="0"/>
                <w:iCs w:val="0"/>
                <w:color w:val="000000"/>
                <w:kern w:val="0"/>
                <w:sz w:val="16"/>
                <w:szCs w:val="16"/>
                <w:u w:val="none"/>
                <w:lang w:val="en-US" w:eastAsia="zh-CN" w:bidi="ar"/>
              </w:rPr>
            </w:pPr>
            <w:r>
              <w:rPr>
                <w:rFonts w:hint="eastAsia" w:cs="宋体"/>
                <w:i w:val="0"/>
                <w:iCs w:val="0"/>
                <w:color w:val="000000"/>
                <w:kern w:val="0"/>
                <w:sz w:val="16"/>
                <w:szCs w:val="16"/>
                <w:u w:val="none"/>
                <w:lang w:val="en-US" w:eastAsia="zh-CN" w:bidi="ar"/>
              </w:rPr>
              <w:t>185108722.75</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cs="宋体"/>
                <w:i w:val="0"/>
                <w:iCs w:val="0"/>
                <w:color w:val="000000"/>
                <w:kern w:val="0"/>
                <w:sz w:val="16"/>
                <w:szCs w:val="16"/>
                <w:u w:val="none"/>
                <w:lang w:val="en-US" w:eastAsia="zh-CN" w:bidi="ar"/>
              </w:rPr>
              <w:t>184208722.75</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cs="宋体"/>
                <w:i w:val="0"/>
                <w:iCs w:val="0"/>
                <w:color w:val="000000"/>
                <w:kern w:val="0"/>
                <w:sz w:val="16"/>
                <w:szCs w:val="16"/>
                <w:u w:val="none"/>
                <w:lang w:val="en-US" w:eastAsia="zh-CN" w:bidi="ar"/>
              </w:rPr>
              <w:t>99.51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8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4" w:hRule="atLeast"/>
          <w:jc w:val="center"/>
        </w:trPr>
        <w:tc>
          <w:tcPr>
            <w:tcW w:w="29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贯彻执行民政工作法律、法规和方针政策，研究提出全县民政事业发展规划，并负责组织实施和监督检查。承担依法对全县性社团、跨镇乡（街道）社团、基金会、民办非企业单位进行登记、管理和监察的责任。监督社团活动、查处社团组织的违法行为和未经登记而以社团名义开展活动的社团组织。负责县级单位所属和挂靠的民办非企业单位的登记和年度检查；会同有关部门对民办非企业单位实施监督、管理。负责建立和实施全区城乡居民最低生活保障制度；负责城乡居民最低生活保障、临时救助、生活无着人员救助工作；组织和指导扶贫济困等社会互助活动；承担社会福利募捐和社会救济工作，协助落实对福利企业扶持、保护政策。负责研究提出加强和改进全县城乡基层群众自治建设、社区建设的意见和建议；指导村（居）民委员会民主选举、民主管理和民主监督工作，推动村务公开和基层民主政治建设；拟订社区建设规划和社区服务管理办法及促进发展的政策措施，指导社区服务体系建设，推动社区建设、发展。拟订全县行政区划总体规划；承担镇乡（街道）和村（居）委行政区域的设立、撤销、调整、更名和界线变更及政府驻地迁移的审核呈报；承担重要的地理实体的地名命名、更名的审核报批；规范全县地名标志的设置和管理；负责全县标准地名图书资料的审定。承担组织、协调、指导镇乡（街道）级行政区域界线勘定和管理；负责镇乡（街道）及以下边界争议的调查和调处。拟订促进慈善事业、社会福利事业发展规划和各类福利设施标准，并组织实施；负责城市“三无”和农村“五保老人”的供养和管理工作；负责社会办养老机构的管理；推进慈善事业发展。研究提出福利彩票发行规划，并对其管理；管理本级福利资金，监督指导全区福利资金的管理使用。贯彻执行婚姻登记管理、殡葬管理和儿童收养的政策，指导婚姻、殡葬和儿童收养服务机构管理工作；负责推进婚俗和殡葬改革。组织拟订全县社会工作发展规划、政策和职业规范，推进社会工作人才队伍建设和相关志愿者队伍建设。者队伍建设。</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贯彻执行民政工作法律、法规和方针政策，研究提出全县民政事业发展规划，并负责组织实施和监督检查。承担依法对全县性社团、跨镇乡（街道）社团、基金会、民办非企业单位进行登记、管理和监察的责任。监督社团活动、查处社团组织的违法行为和未经登记而以社团名义开展活动的社团组织。负责县级单位所属和挂靠的民办非企业单位的登记和年度检查；会同有关部门对民办非企业单位实施监督、管理。负责建立和实施全区城乡居民最低生活保障制度；负责城乡居民最低生活保障、临时救助、生活无着人员救助工作；组织和指导扶贫济困等社会互助活动；承担社会福利募捐和社会救济工作，协助落实对福利企业扶持、保护政策。负责研究提出加强和改进全县城乡基层群众自治建设、社区建设的意见和建议；指导村（居）民委员会民主选举、民主管理和民主监督工作，推动村务公开和基层民主政治建设；拟订社区建设规划和社区服务管理办法及促进发展的政策措施，指导社区服务体系建设，推动社区建设、发展。拟订全县行政区划总体规划；承担镇乡（街道）和村（居）委行政区域的设立、撤销、调整、更名和界线变更及政府驻地迁移的审核呈报；承担重要的地理实体的地名命名、更名的审核报批；规范全县地名标志的设置和管理；负责全县标准地名图书资料的审定。承担组织、协调、指导镇乡（街道）级行政区域界线勘定和管理；负责镇乡（街道）及以下边界争议的调查和调处。拟订促进慈善事业、社会福利事业发展规划和各类福利设施标准，并组织实施；负责城市“三无”和农村“五保老人”的供养和管理工作；负责社会办养老机构的管理；推进慈善事业发展。研究提出福利彩票发行规划，并对其管理；管理本级福利资金，监督指导全区福利资金的管理使用。贯彻执行婚姻登记管理、殡葬管理和儿童收养的政策，指导婚姻、殡葬和儿童收养服务机构管理工作；负责推进婚俗和殡葬改革。组织拟订全县社会工作发展规划、政策和职业规范，推进社会工作人才队伍建设和相关志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发放养老服务补贴人数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lang w:eastAsia="zh-CN"/>
              </w:rPr>
            </w:pPr>
            <w:r>
              <w:rPr>
                <w:rFonts w:hint="eastAsia" w:cs="宋体"/>
                <w:i w:val="0"/>
                <w:iCs w:val="0"/>
                <w:color w:val="000000"/>
                <w:sz w:val="16"/>
                <w:szCs w:val="16"/>
                <w:u w:val="none"/>
                <w:lang w:eastAsia="zh-CN"/>
              </w:rPr>
              <w:t>护工人员数量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lang w:eastAsia="zh-CN"/>
              </w:rPr>
            </w:pPr>
            <w:r>
              <w:rPr>
                <w:rFonts w:hint="eastAsia" w:cs="宋体"/>
                <w:i w:val="0"/>
                <w:iCs w:val="0"/>
                <w:color w:val="000000"/>
                <w:sz w:val="16"/>
                <w:szCs w:val="16"/>
                <w:u w:val="none"/>
                <w:lang w:eastAsia="zh-CN"/>
              </w:rPr>
              <w:t>建设运营街道养老服务中心个数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lang w:eastAsia="zh-CN"/>
              </w:rPr>
            </w:pPr>
            <w:r>
              <w:rPr>
                <w:rFonts w:hint="eastAsia" w:cs="宋体"/>
                <w:i w:val="0"/>
                <w:iCs w:val="0"/>
                <w:color w:val="000000"/>
                <w:sz w:val="16"/>
                <w:szCs w:val="16"/>
                <w:u w:val="none"/>
                <w:lang w:eastAsia="zh-CN"/>
              </w:rPr>
              <w:t>乡镇养老中心数量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民政惠民政策落实率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部门预决算按时公开率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r>
    </w:tbl>
    <w:p>
      <w:pPr>
        <w:keepNext w:val="0"/>
        <w:keepLines w:val="0"/>
        <w:pageBreakBefore w:val="0"/>
        <w:widowControl/>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kern w:val="0"/>
          <w:sz w:val="32"/>
          <w:szCs w:val="32"/>
          <w:shd w:val="clear" w:color="auto" w:fill="FFFFFF"/>
          <w:lang w:val="en-US" w:eastAsia="zh-CN" w:bidi="ar"/>
        </w:rPr>
      </w:pPr>
      <w:r>
        <w:rPr>
          <w:rFonts w:hint="eastAsia" w:ascii="Times New Roman" w:hAnsi="Times New Roman" w:eastAsia="方正仿宋_GBK" w:cs="Times New Roman"/>
          <w:b w:val="0"/>
          <w:bCs/>
          <w:kern w:val="0"/>
          <w:sz w:val="32"/>
          <w:szCs w:val="32"/>
          <w:shd w:val="clear" w:color="auto" w:fill="FFFFFF"/>
          <w:lang w:val="en-US" w:eastAsia="zh-CN" w:bidi="ar"/>
        </w:rPr>
        <w:t>二级项目绩效自评表：</w:t>
      </w:r>
    </w:p>
    <w:p>
      <w:pPr>
        <w:keepNext w:val="0"/>
        <w:keepLines w:val="0"/>
        <w:pageBreakBefore w:val="0"/>
        <w:widowControl/>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b w:val="0"/>
          <w:bCs/>
          <w:kern w:val="0"/>
          <w:sz w:val="32"/>
          <w:szCs w:val="32"/>
          <w:shd w:val="clear" w:color="auto" w:fill="FFFFFF"/>
          <w:lang w:val="en-US" w:eastAsia="zh-CN" w:bidi="ar"/>
        </w:rPr>
      </w:pPr>
    </w:p>
    <w:tbl>
      <w:tblPr>
        <w:tblStyle w:val="7"/>
        <w:tblW w:w="8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616"/>
        <w:gridCol w:w="616"/>
        <w:gridCol w:w="856"/>
        <w:gridCol w:w="1200"/>
        <w:gridCol w:w="945"/>
        <w:gridCol w:w="696"/>
        <w:gridCol w:w="616"/>
        <w:gridCol w:w="616"/>
        <w:gridCol w:w="538"/>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2023年价格临时补贴</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50023823T000003</w:t>
            </w:r>
            <w:r>
              <w:rPr>
                <w:rFonts w:hint="eastAsia" w:cs="宋体"/>
                <w:i w:val="0"/>
                <w:iCs w:val="0"/>
                <w:color w:val="000000"/>
                <w:kern w:val="0"/>
                <w:sz w:val="16"/>
                <w:szCs w:val="16"/>
                <w:u w:val="none"/>
                <w:lang w:val="en-US" w:eastAsia="zh-CN" w:bidi="ar"/>
              </w:rPr>
              <w:t>705348</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right"/>
              <w:rPr>
                <w:rFonts w:hint="eastAsia" w:ascii="宋体" w:hAnsi="宋体" w:eastAsia="宋体" w:cs="宋体"/>
                <w:b/>
                <w:bCs/>
                <w:i w:val="0"/>
                <w:iCs w:val="0"/>
                <w:color w:val="000000"/>
                <w:sz w:val="16"/>
                <w:szCs w:val="16"/>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066-巫溪县民政局</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6"/>
                <w:szCs w:val="16"/>
                <w:u w:val="none"/>
                <w:lang w:eastAsia="zh-CN"/>
              </w:rPr>
            </w:pPr>
            <w:r>
              <w:rPr>
                <w:rFonts w:hint="eastAsia" w:cs="宋体"/>
                <w:i w:val="0"/>
                <w:iCs w:val="0"/>
                <w:color w:val="000000"/>
                <w:sz w:val="16"/>
                <w:szCs w:val="16"/>
                <w:u w:val="none"/>
                <w:lang w:eastAsia="zh-CN"/>
              </w:rPr>
              <w:t>救助科</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51515523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16"/>
                <w:szCs w:val="16"/>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475321</w:t>
            </w:r>
            <w:r>
              <w:rPr>
                <w:rFonts w:hint="eastAsia" w:ascii="宋体" w:hAnsi="宋体" w:eastAsia="宋体" w:cs="宋体"/>
                <w:i w:val="0"/>
                <w:iCs w:val="0"/>
                <w:color w:val="000000"/>
                <w:kern w:val="0"/>
                <w:sz w:val="16"/>
                <w:szCs w:val="16"/>
                <w:u w:val="none"/>
                <w:lang w:val="en-US" w:eastAsia="zh-CN" w:bidi="ar"/>
              </w:rPr>
              <w:t xml:space="preserve"> </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475321</w:t>
            </w:r>
            <w:r>
              <w:rPr>
                <w:rFonts w:hint="eastAsia" w:ascii="宋体" w:hAnsi="宋体" w:eastAsia="宋体" w:cs="宋体"/>
                <w:i w:val="0"/>
                <w:iCs w:val="0"/>
                <w:color w:val="000000"/>
                <w:kern w:val="0"/>
                <w:sz w:val="16"/>
                <w:szCs w:val="16"/>
                <w:u w:val="none"/>
                <w:lang w:val="en-US" w:eastAsia="zh-CN" w:bidi="ar"/>
              </w:rPr>
              <w:t xml:space="preserve"> </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right"/>
              <w:rPr>
                <w:rFonts w:hint="eastAsia" w:ascii="宋体" w:hAnsi="宋体" w:eastAsia="宋体" w:cs="宋体"/>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right"/>
              <w:rPr>
                <w:rFonts w:hint="eastAsia" w:ascii="宋体" w:hAnsi="宋体" w:eastAsia="宋体" w:cs="宋体"/>
                <w:i w:val="0"/>
                <w:iCs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475321</w:t>
            </w:r>
            <w:r>
              <w:rPr>
                <w:rFonts w:hint="eastAsia" w:ascii="宋体" w:hAnsi="宋体" w:eastAsia="宋体" w:cs="宋体"/>
                <w:i w:val="0"/>
                <w:iCs w:val="0"/>
                <w:color w:val="000000"/>
                <w:kern w:val="0"/>
                <w:sz w:val="16"/>
                <w:szCs w:val="16"/>
                <w:u w:val="none"/>
                <w:lang w:val="en-US" w:eastAsia="zh-CN" w:bidi="ar"/>
              </w:rPr>
              <w:t xml:space="preserve"> </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475321</w:t>
            </w:r>
            <w:r>
              <w:rPr>
                <w:rFonts w:hint="eastAsia" w:ascii="宋体" w:hAnsi="宋体" w:eastAsia="宋体" w:cs="宋体"/>
                <w:i w:val="0"/>
                <w:iCs w:val="0"/>
                <w:color w:val="000000"/>
                <w:kern w:val="0"/>
                <w:sz w:val="16"/>
                <w:szCs w:val="16"/>
                <w:u w:val="none"/>
                <w:lang w:val="en-US" w:eastAsia="zh-CN" w:bidi="ar"/>
              </w:rPr>
              <w:t xml:space="preserve"> </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25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lang w:eastAsia="zh-CN"/>
              </w:rPr>
            </w:pPr>
            <w:r>
              <w:rPr>
                <w:rFonts w:hint="eastAsia" w:cs="宋体"/>
                <w:i w:val="0"/>
                <w:iCs w:val="0"/>
                <w:color w:val="000000"/>
                <w:sz w:val="16"/>
                <w:szCs w:val="16"/>
                <w:u w:val="none"/>
                <w:lang w:eastAsia="zh-CN"/>
              </w:rPr>
              <w:t>发放城乡低保对象、城乡低保边缘人口、特困人员、孤儿、事实无人抚养儿童和艾滋病感染儿童价格临时补贴。</w:t>
            </w:r>
          </w:p>
        </w:tc>
        <w:tc>
          <w:tcPr>
            <w:tcW w:w="321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iCs w:val="0"/>
                <w:color w:val="000000"/>
                <w:sz w:val="16"/>
                <w:szCs w:val="16"/>
                <w:u w:val="none"/>
              </w:rPr>
            </w:pPr>
          </w:p>
        </w:tc>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eastAsia="zh-CN"/>
              </w:rPr>
              <w:t>发放城乡低保对象、城乡低保边缘人口、特困人员、孤儿、事实无人抚养儿童和艾滋病感染儿童价格临时补贴。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补贴人数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23176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23176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补助覆盖率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95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95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补助人员满意度</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95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16"/>
                <w:szCs w:val="16"/>
                <w:u w:val="none"/>
              </w:rPr>
            </w:pPr>
          </w:p>
        </w:tc>
      </w:tr>
    </w:tbl>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（二）部门绩效评价情况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我单位未组织开展绩效评价。</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县财政局</w:t>
      </w:r>
      <w:r>
        <w:rPr>
          <w:rFonts w:hint="default" w:ascii="Times New Roman" w:hAnsi="Times New Roman" w:eastAsia="方正仿宋_GBK" w:cs="Times New Roman"/>
          <w:sz w:val="32"/>
          <w:szCs w:val="32"/>
        </w:rPr>
        <w:t>未委托第三方对我部门开展绩效评价。</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六、专业名词解释</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本单位决算公开信息反馈和联系方式：</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联系人：李昌怡；联系电话：023-51515978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8"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重庆市巫溪县民政局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17,873.45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17,818.59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18,287.30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18,287.30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18,287.30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18,287.30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重庆市巫溪县民政局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18,287.30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18,287.30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17,818.59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17,818.59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重庆市巫溪县民政局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18,287.30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622.16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17,665.14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17,818.59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17,251.29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9,562.46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9,562.46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1,701.07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7,861.38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7,861.38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3,903.19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重庆市巫溪县民政局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17,873.45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17,818.59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17,818.59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413.85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18,287.30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18,287.30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17,873.45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413.85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18,287.30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18,287.30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17,873.45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413.85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重庆市巫溪县民政局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17,873.45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622.16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17,251.29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17,818.59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17,251.29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1,115.61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868.57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1,075.08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457.47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1,193.08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1,193.08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1,193.08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1,193.08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9,562.46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9,562.46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1,701.07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1,701.07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7,861.38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7,861.38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3,903.19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3,903.19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重庆市巫溪县民政局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539.12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83.04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重庆市巫溪县民政局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413.85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413.85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413.85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381.28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381.28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381.28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重庆市巫溪县民政局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重庆市巫溪县民政局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18.54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11.91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bookmarkStart w:id="0" w:name="_GoBack"/>
            <w:bookmarkEnd w:id="0"/>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144.50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144.50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144.50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144.50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6E276D"/>
    <w:rsid w:val="0B9335CE"/>
    <w:rsid w:val="0C376D1A"/>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2666B6"/>
    <w:rsid w:val="27B23302"/>
    <w:rsid w:val="28FC7031"/>
    <w:rsid w:val="29310A5F"/>
    <w:rsid w:val="29C37A35"/>
    <w:rsid w:val="2A076083"/>
    <w:rsid w:val="2A73162E"/>
    <w:rsid w:val="2B167953"/>
    <w:rsid w:val="2B200583"/>
    <w:rsid w:val="2B8209DE"/>
    <w:rsid w:val="2C6762A3"/>
    <w:rsid w:val="2EBF7B3E"/>
    <w:rsid w:val="2EDE1934"/>
    <w:rsid w:val="2FCA4B37"/>
    <w:rsid w:val="2FE029D7"/>
    <w:rsid w:val="2FF06E00"/>
    <w:rsid w:val="30553D32"/>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767D8C"/>
    <w:rsid w:val="4EFC6D10"/>
    <w:rsid w:val="4F0C6BA3"/>
    <w:rsid w:val="4F10477D"/>
    <w:rsid w:val="4F186D58"/>
    <w:rsid w:val="4FEA65B7"/>
    <w:rsid w:val="502D058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DA7510"/>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3E62A3F"/>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210061"/>
    <w:rsid w:val="7D7406BB"/>
    <w:rsid w:val="7DE94331"/>
    <w:rsid w:val="7F446A19"/>
    <w:rsid w:val="7F7452B9"/>
    <w:rsid w:val="EF74F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6</TotalTime>
  <ScaleCrop>false</ScaleCrop>
  <LinksUpToDate>false</LinksUpToDate>
  <CharactersWithSpaces>27389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2024-09-29T16:38:56Z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BB46EABDBB2749749395447164B066B3_12</vt:lpwstr>
  </property>
</Properties>
</file>