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_GBK"/>
          <w:bCs/>
          <w:sz w:val="44"/>
          <w:szCs w:val="44"/>
          <w:lang w:eastAsia="zh-CN"/>
        </w:rPr>
        <w:t>巫溪县</w:t>
      </w:r>
      <w:r>
        <w:rPr>
          <w:rFonts w:hint="eastAsia" w:eastAsia="方正小标宋_GBK"/>
          <w:bCs/>
          <w:sz w:val="44"/>
          <w:szCs w:val="44"/>
          <w:lang w:eastAsia="zh-CN"/>
        </w:rPr>
        <w:t>生态环境局2023年度 “双随机、一公开”抽查计划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  <w:t>根据《重庆市进一步加强生态环境“双随机、一公开”监管工作实施方案》（渝环办发〔2021〕223号）要求，制定《巫溪县生态环境局关于印发巫溪县进一步加强生态环境“双随机、一公开”监管工作实施方案的通知》（溪环发〔2021〕41号）。现按照《巫溪县进一步加强生态环境“双随机、一公开”监管工作实施方案》和随机抽查事项清单制定巫溪县生态环境局2023年度“双随机、一公开”抽查计划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3779" w:firstLineChars="15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5886" w:firstLineChars="18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  <w:t>巫溪县生态环境局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5886" w:firstLineChars="18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  <w:t>2023年2月22日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ectPr>
          <w:footerReference r:id="rId3" w:type="default"/>
          <w:pgSz w:w="11905" w:h="16838"/>
          <w:pgMar w:top="1134" w:right="1474" w:bottom="1134" w:left="1587" w:header="851" w:footer="1134" w:gutter="0"/>
          <w:paperSrc/>
          <w:cols w:space="0" w:num="1"/>
          <w:rtlGutter w:val="0"/>
          <w:docGrid w:type="linesAndChars" w:linePitch="589" w:charSpace="1547"/>
        </w:sect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  <w:t>附件：2023年度“双随机、一公开”抽查计划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                                                       </w:t>
      </w:r>
    </w:p>
    <w:tbl>
      <w:tblPr>
        <w:tblStyle w:val="7"/>
        <w:tblW w:w="15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25"/>
        <w:gridCol w:w="1800"/>
        <w:gridCol w:w="4583"/>
        <w:gridCol w:w="2949"/>
        <w:gridCol w:w="1381"/>
        <w:gridCol w:w="148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tblHeader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发起部门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抽查事项名称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检查内容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检查对象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抽查频次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抽查比例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抽取对象数量（家）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eastAsia="zh-CN"/>
              </w:rPr>
              <w:t>污防科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水污染防治设施运行情况</w:t>
            </w:r>
          </w:p>
        </w:tc>
        <w:tc>
          <w:tcPr>
            <w:tcW w:w="4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81" w:rightChars="-25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1.是否有排污许可证。</w:t>
            </w:r>
          </w:p>
          <w:p>
            <w:pPr>
              <w:spacing w:line="320" w:lineRule="exact"/>
              <w:ind w:right="-81" w:rightChars="-25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2.入河排污口设置是否审批。</w:t>
            </w:r>
          </w:p>
          <w:p>
            <w:pPr>
              <w:spacing w:line="320" w:lineRule="exact"/>
              <w:ind w:right="-81" w:rightChars="-25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3.污水排放是否达标。</w:t>
            </w:r>
          </w:p>
          <w:p>
            <w:pPr>
              <w:spacing w:line="320" w:lineRule="exact"/>
              <w:ind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4.是否安装在线监测设施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城市、建制乡镇污水处理厂。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工业聚集区污水处理厂。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大气污染防治设施运行情况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污染治理设施运行和污染物排放状况。</w:t>
            </w:r>
          </w:p>
          <w:p>
            <w:pPr>
              <w:spacing w:line="320" w:lineRule="exact"/>
              <w:ind w:left="-81" w:leftChars="-25" w:right="-81" w:rightChars="-25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是否建立环境管理台账。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涉气重点企业、涉挥发性有机物企业、油库加油站。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危险废物规范化环境管理评估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1.是否按经营许可类别、规模规范经营活动。</w:t>
            </w:r>
          </w:p>
          <w:p>
            <w:pPr>
              <w:spacing w:line="320" w:lineRule="exact"/>
              <w:ind w:left="-81" w:lef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2.是否执行危险废物管理计划、申报登记、应急预案、转移联单、危险废物经营记录簿等危险废物规范化管理制度。</w:t>
            </w:r>
          </w:p>
          <w:p>
            <w:pPr>
              <w:spacing w:line="320" w:lineRule="exact"/>
              <w:ind w:left="-81" w:leftChars="-25" w:firstLine="0" w:firstLineChars="0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3.是否建立规范的贮存设施并分类分区规范贮存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危险废物经营单位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建设用地土壤污染状况调查开展情况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1.是否按照《土壤法》第59条用途变更为住宅、公共管理与公共服务用地的，变更前按照规定进行土壤污染状况调查。</w:t>
            </w:r>
          </w:p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是否及时将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土壤污染状况监测数据、调查报告等上传全国土壤环境信息平台。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土壤污染责任人或土地使用权人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eastAsia="zh-CN"/>
              </w:rPr>
              <w:t>审批科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环评报告质量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1.环评报告编制的规范性。</w:t>
            </w:r>
          </w:p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2.环评报告编制质量。</w:t>
            </w:r>
          </w:p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3.环评审批情况。</w:t>
            </w:r>
          </w:p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4.评审专家履职情况。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环评报告编制单位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30%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eastAsia="zh-CN"/>
              </w:rPr>
              <w:t>建设项目环境影响备案登记表质量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56"/>
              </w:tabs>
              <w:spacing w:line="320" w:lineRule="exact"/>
              <w:ind w:left="-81" w:leftChars="-25" w:right="-81" w:rightChars="-25"/>
              <w:jc w:val="lef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评价类别是否降级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eastAsia="zh-CN"/>
              </w:rPr>
              <w:t>备案登记建设项目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排污许可证核发质量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检查已核发的排污许可证质量</w:t>
            </w:r>
          </w:p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2.是否存在降级管理情况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纳入排污许可管理的排污单位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10%（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委托第三方机构实施</w:t>
            </w:r>
            <w:r>
              <w:rPr>
                <w:rFonts w:hint="eastAsia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eastAsia="zh-CN"/>
              </w:rPr>
              <w:t>执法支队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污染源日常监督检查，以及突发环境事件应急预案备案情况、环境安全隐患情况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1.排污单位的日常监督检查。</w:t>
            </w:r>
          </w:p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企业突发环境事件应急管理检查。突发环境事件风险评估，确定风险等级情况；应急预案制定备案情况；建立健全隐患排查治理制度，隐患排查治理和建立档案情况；突发环境事件应急培训情况；必要环境应急装备和物资储备情况；应急预案及演练公开情况。</w:t>
            </w:r>
          </w:p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3.企业突发环境事件风险防控措施检查。突发水环境事件、大气环境事件风险防控措施。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sz w:val="24"/>
                <w:lang w:eastAsia="zh-CN"/>
              </w:rPr>
              <w:t>全县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排污单位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建设项目环评及批复落实情况、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三同时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制度落实情况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按照生态环境部和市生态环境局有关要求，重点检查检查建设项目环境影响报告书（表）及批复要求落实情况；以及建设项目环境保护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三同时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及竣工环境保护自主验收有关制度落实情况。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</w:t>
            </w:r>
            <w:r>
              <w:rPr>
                <w:rFonts w:hint="eastAsia" w:eastAsia="方正仿宋_GBK" w:cs="Times New Roman"/>
                <w:sz w:val="24"/>
                <w:lang w:eastAsia="zh-CN"/>
              </w:rPr>
              <w:t>、县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生态环境局审批建设项目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项目开工建设后至投入生产或使用1年内抽查1次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排污许可制度落实及执行情况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重点检查企业持证排污、按证排污和证后管理制度落实情况。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全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核发重点管理类排污许可证的企业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辐射类建设项目环评及批复落实情况、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三同时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制度落实情况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81" w:rightChars="-25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按照生态环境部和市生态环境局有关要求，重点检查辐射类建设项目环境影响报告书（表）及批复要求落实情况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建设项目环境保护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三同时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及竣工环境保护自主验收有关制度落实情况。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2019年以来市生态环境局审批的辐射类建设项目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辐射安全许可制度落实及执行情况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1.辐射源基本情况。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2.辐射安全防护设施与运行情况。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3.法规执行情况。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right="-81" w:rightChars="-25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管理制度与执行情况。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eastAsia="zh-CN"/>
              </w:rPr>
              <w:t>市生态环境局、县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生态环境局核发辐射安全许可证的单位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1" w:leftChars="-25" w:right="-81" w:rightChars="-25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5</w:t>
            </w:r>
          </w:p>
        </w:tc>
      </w:tr>
    </w:tbl>
    <w:p/>
    <w:sectPr>
      <w:pgSz w:w="16838" w:h="11905" w:orient="landscape"/>
      <w:pgMar w:top="1587" w:right="1134" w:bottom="1474" w:left="1134" w:header="851" w:footer="1134" w:gutter="0"/>
      <w:paperSrc/>
      <w:cols w:space="0" w:num="1"/>
      <w:rtlGutter w:val="0"/>
      <w:docGrid w:type="linesAndChars" w:linePitch="58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7840" w:firstLineChars="280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F48E"/>
    <w:multiLevelType w:val="singleLevel"/>
    <w:tmpl w:val="6152F4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64"/>
  <w:drawingGridVerticalSpacing w:val="295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7C8B"/>
    <w:rsid w:val="03FB47AB"/>
    <w:rsid w:val="042A3CBB"/>
    <w:rsid w:val="08C84A2A"/>
    <w:rsid w:val="0915438A"/>
    <w:rsid w:val="0EA17C8B"/>
    <w:rsid w:val="12DD267A"/>
    <w:rsid w:val="1C6C251C"/>
    <w:rsid w:val="2D3843E1"/>
    <w:rsid w:val="33F32033"/>
    <w:rsid w:val="38DD5CE8"/>
    <w:rsid w:val="40AF211E"/>
    <w:rsid w:val="46CF5257"/>
    <w:rsid w:val="499E1EAF"/>
    <w:rsid w:val="4DBC62EB"/>
    <w:rsid w:val="58E8240A"/>
    <w:rsid w:val="5A8B1C3B"/>
    <w:rsid w:val="5AFB4395"/>
    <w:rsid w:val="5D0238A9"/>
    <w:rsid w:val="68EA2D3E"/>
    <w:rsid w:val="736255EA"/>
    <w:rsid w:val="73F644D4"/>
    <w:rsid w:val="79183A2D"/>
    <w:rsid w:val="7FF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8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2023-02-22T02:40:00Z</dcterms:created>
  <dc:creator>Administrator</dc:creator>
  <cp:lastModifiedBy>Administrator</cp:lastModifiedBy>
  <cp:lastPrinted>2023-02-22T03:09:20Z</cp:lastPrinted>
  <dcterms:modified xsi:type="dcterms:W3CDTF">2023-02-22T03:17:29Z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