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28" w:tblpY="2358"/>
        <w:tblOverlap w:val="never"/>
        <w:tblW w:w="14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50"/>
        <w:gridCol w:w="4260"/>
        <w:gridCol w:w="4169"/>
        <w:gridCol w:w="1560"/>
        <w:gridCol w:w="1096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提交时间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批准文号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渝环辐证[38056]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巫溪县谭聪慧口腔诊所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重庆市巫溪县柏杨街道春申大道2号附42号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渝环辐证[38055]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重庆美瑞口腔门诊有限责任公司巫溪县文峰镇口腔诊所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重庆市巫溪县文峰镇文峰大道91号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渝环辐证[38054]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巫溪颐添园中医医院有限责任公司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重庆市巫溪县柏杨街道西区水城108号1栋1号楼2-1,3-1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渝环辐证[38053]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巫溪县疾病预防控制中心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重庆市巫溪县重庆市巫溪县镇泉春申大道295号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渝环辐证[38052]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巫溪县红池坝镇卫生院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重庆市巫溪县红池坝镇渔沙村红池坝镇卫生院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渝环辐证[38034]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巫溪县天元乡卫生院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重庆市巫溪县重庆市巫溪县天元乡天元村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渝环辐证[38051]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巫溪县城厢镇卫生院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重庆市巫溪县巫溪县滨河南路与先滨路交叉口西北180米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893" w:tblpY="-402"/>
        <w:tblOverlap w:val="never"/>
        <w:tblW w:w="14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2023年新申请辐射许可证情况公示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E4B128B"/>
    <w:rsid w:val="4F564E05"/>
    <w:rsid w:val="524A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2024-02-05T09:27:13Z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8E54C42E7BF1421CAC4FEBC8CAD78CAF</vt:lpwstr>
  </property>
</Properties>
</file>