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  <w:t>巫溪县</w:t>
      </w:r>
      <w:r>
        <w:rPr>
          <w:rFonts w:ascii="Times New Roman" w:hAnsi="Times New Roman"/>
          <w:color w:val="333333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/>
          <w:color w:val="333333"/>
          <w:kern w:val="0"/>
          <w:sz w:val="44"/>
          <w:szCs w:val="44"/>
          <w:lang w:val="en-US" w:eastAsia="zh-CN" w:bidi="ar"/>
        </w:rPr>
        <w:t>3</w:t>
      </w:r>
      <w:r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  <w:t>年国民经济和社会发展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rPr>
          <w:rFonts w:hint="eastAsia" w:ascii="方正楷体_GBK" w:hAnsi="方正楷体_GBK" w:eastAsia="方正楷体_GBK" w:cs="方正楷体_GBK"/>
          <w:color w:val="333333"/>
          <w:sz w:val="32"/>
          <w:szCs w:val="32"/>
          <w:lang w:bidi="ar"/>
        </w:rPr>
      </w:pPr>
      <w:r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  <w:lang w:bidi="ar"/>
        </w:rPr>
        <w:t>统计公报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hanging="640"/>
        <w:jc w:val="center"/>
        <w:textAlignment w:val="auto"/>
        <w:rPr>
          <w:rFonts w:hint="eastAsia" w:ascii="方正楷体_GBK" w:hAnsi="方正楷体_GBK" w:eastAsia="方正楷体_GBK" w:cs="方正楷体_GBK"/>
          <w:color w:val="333333"/>
          <w:sz w:val="32"/>
          <w:szCs w:val="32"/>
          <w:highlight w:val="yellow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2023年是全面贯彻党的二十大精神的开局之年，是全面建设社会主义现代化新重庆的起步之年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面对复杂多变的外部环境、日益趋紧的要素约束、交织叠加的矛盾风险，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全县上下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深学笃用习近平新时代中国特色社会主义思想，认真贯彻落实党中央、国务院决策部署和市委、市政府工作要求，坚持“稳进增效、除险清患、改革求变、惠民有感”工作导向，奋力推动高质量发展、创造高品质生活，经济发展稳中有进，社会大局和谐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初步核算，全年全县实现地区生产总值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130.6亿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6.5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按产业分，第一产业增加值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28.2亿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%；第二产业增加值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34.9亿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%；第三产业增加值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67.5亿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%。三次产业结构比为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21.6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26.7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51.7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。全年人均地区生产总值达到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34011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民营经济增加值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79.7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，增长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6.8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%，占全县经济总量的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61.0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%。</w:t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6530" cy="2817495"/>
            <wp:effectExtent l="4445" t="4445" r="9525" b="1016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3"/>
        <w:ind w:left="0" w:leftChars="0" w:firstLine="0" w:firstLineChars="0"/>
        <w:rPr>
          <w:rFonts w:hint="eastAsia" w:eastAsia="方正仿宋_GBK"/>
          <w:lang w:eastAsia="zh-CN"/>
        </w:rPr>
      </w:pPr>
      <w:r>
        <w:rPr>
          <w:rFonts w:hint="eastAsia" w:eastAsia="方正仿宋_GBK"/>
          <w:lang w:eastAsia="zh-CN"/>
        </w:rPr>
        <w:drawing>
          <wp:inline distT="0" distB="0" distL="114300" distR="114300">
            <wp:extent cx="5256530" cy="2690495"/>
            <wp:effectExtent l="0" t="0" r="1270" b="1905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年末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全县常住人口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38.08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万人，其中，城镇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常住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人口16.0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常住人口城镇化率为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42.23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%，比上年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末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提高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0.79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城镇新增就业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3041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比上年下降19.5%。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>二、农业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全年全县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农林牧渔业总产值45亿元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同比增长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4.8%。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全年粮食播种面积88.3万亩。粮食综合单产272.0公斤/亩，同比增长3.4%。全年粮食总产量24.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0万吨，同比增长1.9%。其中，夏粮产量7.6万吨，增长1.9%；秋粮产量16.4万吨，增长1.9%。全年谷物产量10.3万吨，同比下降1.1%。其中，稻谷产量1.2万吨，下降13.6%；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玉米产量9.0万吨，增长1.2%；小麦产量104.0吨，下降61.1%。全年猪肉产量4.9万吨，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增长5.6%。牛肉产量0.1万吨，同比增长8.5%，禽肉产量0.5万吨，同比增长8%。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年末生猪存栏35.6万头，同比增长0.4%；生猪出栏60.3万头，同比增长4.8%。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 xml:space="preserve">三、工业和建筑业  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highlight w:val="none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全年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工业增加值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7.5亿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元，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同比增长7.9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规模以上工业增加值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同比增长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10.6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分门类看，采矿业增长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5.6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%，制造业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增长9.8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%，电力、热力、燃气及水生产和供应业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增长7.6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%。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1609"/>
        <w:gridCol w:w="1679"/>
        <w:gridCol w:w="1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表1    2023年规模以上工业主要工业产品产量及其增长速度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产量</w:t>
            </w: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同比增长%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商品混凝土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立方米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302121.8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钢化玻璃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平方米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26962.2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中空玻璃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平方米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20432.2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人造板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立方米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 xml:space="preserve">  细木工板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立方米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水泥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吨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59527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熟肉制品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吨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自来水生产量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万立方米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3839.9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家具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件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营养、保健食品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吨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石灰石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吨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1691443.9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天然大理石建筑板材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平方米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415256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发电量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万度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44836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 xml:space="preserve">   水力发电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万度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34996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eastAsia="方正仿宋_GBK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全年建筑业增加值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27.4亿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元，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同比增长14.5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>四、服务业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年批发和零售业增加值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10.8亿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元，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/>
        </w:rPr>
        <w:t>同比增长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%；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交通运输、仓储和邮政业增加值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3.0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元，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同比增长7.4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%；住宿和餐饮业增加值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2.5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元，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增长1.4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%；金融业增加值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10.2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元，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7.8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%；房地产业增加值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同比下降0.4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%；其他服务业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33.4亿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元，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增长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4.7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%。全年规模以上服务业企业营业收入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2.7亿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元，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/>
        </w:rPr>
        <w:t>同比增长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13.2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全年货物运输总量41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5万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吨，货物运输周转量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36987万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吨公里。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全年旅客运输总量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154万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/>
        </w:rPr>
        <w:t>，同比增长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2.9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/>
        </w:rPr>
        <w:t>%。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旅客运输周转量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9103万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人公里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同比增长15.3%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全年完成邮政行业业务总量1.1亿元，同比增长8.9%。全年完成邮政函件业务113226件，包裹业务2596件，快递业务704245件。全年完成邮政行业业务收入1.2亿元，同比增长11.8%。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全年完成电信业务总量1.3亿元，同比增长3.5%。全县固定电话用户53790户，其中，移动电话用户166605户。移动互联网用户112545户。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>五、国内贸易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全年社会消费品零售总额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69.7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元，同比增长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按经营地统计，城镇消费品零售额下降16.3%，乡村消费品零售额增长34.2%。按消费类型统计，商品零售额下降17.1%，餐饮收入增长4.0%。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  在限额以上单位中，粮油、食品类商品零售额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下降3.0%，饮料类商品增长21.2%，烟酒类商品下降40.9%，服装、鞋帽、针纺织品类商品下降54.0%，化妆品类商品增长1.3%，金银珠宝类商品增长26.1%，家用电器和音像器材类商品下降45.2%，中西药品类商品增长35.4%，文化办公用品类商品下降33.1%，家具类商品下降26.5%，通讯器材类商品增长9.1%，建筑及装潢材料类商品下降8.1%，石油及制品类商品下降8.1%，汽车类商品下降35.0%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 xml:space="preserve">六、固定资产投资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全年全县固定资产投资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同比增长17.0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其中，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第一产业增长105.5%；第二产业增长17.8%；第三产业增长14.5%。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工业投资增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17.8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%。基础设施建设投资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增长15.7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。社会领域投资增长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36.0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%，其中，教育投资增长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1037.0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%，卫生投资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下降69.2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%，文化、体育和娱乐业投资增长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460.5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 xml:space="preserve">七、财政金融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全年一般公共预算收入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11.8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元，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同比增长33.1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%。其中：税收收入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4.1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元，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增长4.7%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。一般公共预算支出完成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50.4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元，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增长1.1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年末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全市金融机构本外币存款余额278.7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元，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增长15.0%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其中，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人民币存款余额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278.7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元，增长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15.0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金融机构本外币贷款余额197.6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元，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增长6.61%，其中，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人民币贷款余额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197.6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元，增长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6.6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保费总收入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5.7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元。其中，财产保险收入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2.5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元；人身保险收入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元。全年赔付各类保险金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2.9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其中，财产保险赔付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1.6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元；人身保险赔付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>八、居民收入消费和社会保障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全县居民人均可支配收入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22049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元，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同比增长5.4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按常住地分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，城镇居民人均可支配收入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33305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元，增长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3.7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%；农村居民人均可支配收入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14084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元，增长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7.0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全县居民人均消费支出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15847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元，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同比增长4.4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按常住地分，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城镇居民人均消费支出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20945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元，增长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3.8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%；农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村居民人均消费支出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12239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元，增长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%。全县居民恩格尔系数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36.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%，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下降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0.6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个百分点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其中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城镇为34.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%，农村为3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7.9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%。</w:t>
      </w:r>
    </w:p>
    <w:tbl>
      <w:tblPr>
        <w:tblStyle w:val="5"/>
        <w:tblpPr w:leftFromText="180" w:rightFromText="180" w:vertAnchor="text" w:horzAnchor="page" w:tblpXSpec="center" w:tblpY="114"/>
        <w:tblOverlap w:val="never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2938"/>
        <w:gridCol w:w="2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表2  2023年居民人均可支配收入及其增长速度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99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绝对量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4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99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增幅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人均可支配收入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22049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其中：工资性收入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11989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经营净收入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5991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财产净收入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879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转移净收入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3191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城镇居民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人均可支配收入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33305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其中：工资性收入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22278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经营净收入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5778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财产净收入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1610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转移净收入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3640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农村居民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人均可支配收入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14084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其中：工资性收入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4708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经营净收入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6142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财产净收入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362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99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转移净收入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2872 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6.7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全县城镇职工基本养老保险参保人数9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.3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万人，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同比增长2.8%。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城乡居民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基本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养老保险参保人数 28.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万人，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与上年持平。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城镇职工基本医疗保险参保人数3.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万人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/>
        </w:rPr>
        <w:t>，城乡居民基本医疗保险参保人数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40.6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/>
        </w:rPr>
        <w:t>万人，基本医疗保险参保率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96.84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/>
        </w:rPr>
        <w:t>%。生育保险参保人数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2.4万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/>
        </w:rPr>
        <w:t>人，享受生育保险待遇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1387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/>
        </w:rPr>
        <w:t>人次。工伤保险参保人数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3.8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/>
        </w:rPr>
        <w:t>万人。失业保险参保人数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/>
        </w:rPr>
        <w:t>万人。</w:t>
      </w:r>
    </w:p>
    <w:p>
      <w:pPr>
        <w:pStyle w:val="2"/>
        <w:ind w:firstLine="640" w:firstLineChars="200"/>
        <w:rPr>
          <w:rFonts w:hint="eastAsia"/>
          <w:lang w:val="e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年末全县共有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2239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人享受城市居民最低生活保障，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15205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人享受农村居民最低生活保障。城市特困人员救助供养人数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79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人，农村特困人员救助供养人数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3114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人。全年资助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20637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人困难群众参加医疗保险。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城市居民最低生活保障标准为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735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元/月，农村居民最低生活保障标准为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600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元/月，特困人员救助供养标准为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955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元/月，孤儿补助标准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1405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元/月。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>九、科学技术和教育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全县科研机构数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4个，科技项目立项12个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。全年引进推广科技成果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10个，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/>
        </w:rPr>
        <w:t>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权专利数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88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件，授权发明专利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FF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全县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共有普通高中教育学校4所，中等职业学校2所，普通初中1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所，普通小学7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所，幼儿园6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所，特殊教育学校1所。高中阶段教育毛入学率 96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.2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 %，小学学龄儿童净入学率为99.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%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>十、文化旅游、卫生健康和体育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"/>
        </w:rPr>
        <w:t>全县共有博物馆2个，文化馆1个，文化站32个，公共图书馆1个，艺术表演团体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"/>
        </w:rPr>
        <w:t>个。公共图书馆总藏量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8.8万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"/>
        </w:rPr>
        <w:t>册、件，书架总长度0.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"/>
        </w:rPr>
        <w:t>万米。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全县旅游及相关产业增加值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元，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同比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增长4.4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%，占地区生产总值比重为3.5%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年末全县拥有国家A级景区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个，其中，4A级景区2个，3A级景区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个，2A级景区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个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年末全县共有各级各类医疗卫生机构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382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个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/>
        </w:rPr>
        <w:t>其中，县属医疗机构4个，民营医院9个，疾控中心1个，社区卫生服务中心（站）2个，乡镇卫生院30个，村卫生室256个。个体诊所80个。医疗卫生机构床位数2614张。其中，县属医疗机构床位数1268张，民营医院床位数421张，乡镇卫生院床位865张，社区卫生服务中心（站）60张。全县共有医疗卫生机构卫生技术人员2313人。其中，执业医师和执业助理医师注册人数为1056人，注册护士注册人数为1048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"/>
        </w:rPr>
        <w:t>年末，全县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体育场地1779个，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"/>
        </w:rPr>
        <w:t>体育场地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总面积111万平方米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人均体育场地面积2.9平方米。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22"/>
          <w:highlight w:val="none"/>
          <w:lang w:val="en"/>
        </w:rPr>
        <w:t>十一、资源、环境和应急管理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全年规模以上工业综合能源消费量同比增长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1.2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%。单位工业增加值能耗下降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10.7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%。全社会用电量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下降0.8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全年水资源总量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74.6亿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立方米。年平均降雨量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2184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毫米。全年总用水量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4984万吨。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治理水土流失面积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116.6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平方公里。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自然保护区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个，其中，国家级自然保护区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个。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完成营造林面积14.3万亩。全县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森林覆盖率70.2%。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全年城区空气质量优良天数344天。城市空气质量达标率94.2%。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饮用水源水质达标率100%，城区区域环境噪声平均值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42.4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分贝。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" w:eastAsia="zh-CN" w:bidi="ar-SA"/>
        </w:rPr>
        <w:t>全年生产安全事故死亡人数9人（含道路运输事故次责及以下），比上年下降67%；未发生较大生产安全事故，未发生重大生产安全事故。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</w:pPr>
    </w:p>
    <w:p>
      <w:pPr>
        <w:widowControl/>
        <w:spacing w:line="520" w:lineRule="exact"/>
        <w:ind w:firstLine="560" w:firstLineChars="200"/>
        <w:jc w:val="left"/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</w:pPr>
    </w:p>
    <w:p>
      <w:pPr>
        <w:widowControl/>
        <w:spacing w:line="520" w:lineRule="exact"/>
        <w:ind w:firstLine="560" w:firstLineChars="200"/>
        <w:jc w:val="left"/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注释：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1.本公报中202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年数据均为初步统计数，部分数据因四舍五入的原因，存在与分项合计不等的情况。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2.地区生产总值、三次产业及相关行业增加值、人均地区生产总值、农林牧渔业总产值绝对数按现价计算，增长速度按可比价计算。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.其</w:t>
      </w:r>
      <w:r>
        <w:rPr>
          <w:rFonts w:hint="eastAsia" w:ascii="方正楷体_GBK" w:hAnsi="方正楷体_GBK" w:eastAsia="方正楷体_GBK" w:cs="方正楷体_GBK"/>
          <w:spacing w:val="-4"/>
          <w:kern w:val="0"/>
          <w:sz w:val="28"/>
          <w:szCs w:val="28"/>
          <w:lang w:bidi="ar"/>
        </w:rPr>
        <w:t>他服务业包括农、林、牧、渔专业及辅助性活动，信息传输、软件和信息技术服务业，租赁和商务服务业，科学研究和技术服务业，水利、环境和公共设施管理业，居民服务、修理和其他服务业，教育，卫生和社会工作，文化、体育和娱乐业，公共管理、社会保障和社会组织等行业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.行业统计标准：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规模以上工业：年主营业务收入2000万元及以上的工业法人单位。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有资质的建筑业：有总承包和专业承包资质的建筑业法人单位。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限额以上批发和零售业：年主营业务收入2000万元及以上的批发业、年主营业务收入500万元及以上的零售业企业（单位）。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限额以上住宿和餐饮业：年主营业务收入200万元及以上的住宿和餐饮业企业（单位）。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房地产开发经营业：全部房地产开发经营业法人单位。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规模以上服务业：年营业收入2000万元及以上服务业法人单位。包括：交通运输、仓储和邮政业，信息传输、软件和信息技术服务业，水利、环境和公共设施管理业三个门类和卫生行业大类。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年营业收入1000万元及以上服务业法人单位。包括：租赁和商务服务业、科学研究和技术服务业、教育三个门类，以及物业管理、房地产中介服务、房地产租赁经营和其他房地产业四个行业大类。</w:t>
      </w:r>
    </w:p>
    <w:p>
      <w:pPr>
        <w:widowControl/>
        <w:spacing w:line="520" w:lineRule="exact"/>
        <w:ind w:firstLine="56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bidi="ar"/>
        </w:rPr>
        <w:t>年营业收入500万元及以上服务业法人单位。包括：居民服务、修理和其他服务业，文化、体育和娱乐业两个门类，以及社会工作行业大类。</w:t>
      </w:r>
    </w:p>
    <w:p>
      <w:pPr>
        <w:pStyle w:val="2"/>
        <w:rPr>
          <w:rFonts w:hint="eastAsia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0"/>
    <w:family w:val="roman"/>
    <w:pitch w:val="default"/>
    <w:sig w:usb0="00000000" w:usb1="00000000" w:usb2="00000006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报宋简">
    <w:altName w:val="方正书宋_GBK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9925BA"/>
    <w:rsid w:val="009C0D08"/>
    <w:rsid w:val="01AB1FDC"/>
    <w:rsid w:val="01F22B77"/>
    <w:rsid w:val="02740165"/>
    <w:rsid w:val="02C82642"/>
    <w:rsid w:val="03224022"/>
    <w:rsid w:val="03456FCD"/>
    <w:rsid w:val="036348F5"/>
    <w:rsid w:val="03BE1149"/>
    <w:rsid w:val="05721D59"/>
    <w:rsid w:val="0676106D"/>
    <w:rsid w:val="06767758"/>
    <w:rsid w:val="06A74DBD"/>
    <w:rsid w:val="06B961DA"/>
    <w:rsid w:val="06BB5643"/>
    <w:rsid w:val="06EA61F8"/>
    <w:rsid w:val="07D07F1D"/>
    <w:rsid w:val="08B50476"/>
    <w:rsid w:val="08DA0675"/>
    <w:rsid w:val="08E6374F"/>
    <w:rsid w:val="0B415A95"/>
    <w:rsid w:val="0B417592"/>
    <w:rsid w:val="0B6B2AF8"/>
    <w:rsid w:val="0C4818CD"/>
    <w:rsid w:val="0C5A10F3"/>
    <w:rsid w:val="0D424536"/>
    <w:rsid w:val="0D872F82"/>
    <w:rsid w:val="0D8D1D4C"/>
    <w:rsid w:val="0DD85DDD"/>
    <w:rsid w:val="0EA37B51"/>
    <w:rsid w:val="0F5031AE"/>
    <w:rsid w:val="0F8F3E7B"/>
    <w:rsid w:val="0FA21600"/>
    <w:rsid w:val="0FC373BA"/>
    <w:rsid w:val="10024E6A"/>
    <w:rsid w:val="101822F4"/>
    <w:rsid w:val="102F1450"/>
    <w:rsid w:val="105570A4"/>
    <w:rsid w:val="10E53986"/>
    <w:rsid w:val="11373594"/>
    <w:rsid w:val="11477787"/>
    <w:rsid w:val="1154007F"/>
    <w:rsid w:val="118F0C1D"/>
    <w:rsid w:val="11AD085B"/>
    <w:rsid w:val="12D96979"/>
    <w:rsid w:val="12DB157F"/>
    <w:rsid w:val="12F83578"/>
    <w:rsid w:val="136F0304"/>
    <w:rsid w:val="13CC4E95"/>
    <w:rsid w:val="13E23345"/>
    <w:rsid w:val="14540713"/>
    <w:rsid w:val="14F1225C"/>
    <w:rsid w:val="15321C87"/>
    <w:rsid w:val="15C74786"/>
    <w:rsid w:val="15DC405B"/>
    <w:rsid w:val="16A5468C"/>
    <w:rsid w:val="16B918F1"/>
    <w:rsid w:val="16CA1D25"/>
    <w:rsid w:val="16CA7686"/>
    <w:rsid w:val="16DF3A43"/>
    <w:rsid w:val="176C1788"/>
    <w:rsid w:val="19286B2A"/>
    <w:rsid w:val="193420F5"/>
    <w:rsid w:val="194235E6"/>
    <w:rsid w:val="19725E3D"/>
    <w:rsid w:val="19767EEA"/>
    <w:rsid w:val="19DD7D07"/>
    <w:rsid w:val="1A434A7E"/>
    <w:rsid w:val="1A794E25"/>
    <w:rsid w:val="1B524BA0"/>
    <w:rsid w:val="1BB0517C"/>
    <w:rsid w:val="1C265D6E"/>
    <w:rsid w:val="1C6A111E"/>
    <w:rsid w:val="1D1A0EC7"/>
    <w:rsid w:val="1D8B61B8"/>
    <w:rsid w:val="1DA66104"/>
    <w:rsid w:val="1ED51388"/>
    <w:rsid w:val="1EF70239"/>
    <w:rsid w:val="1F0F03BB"/>
    <w:rsid w:val="1FD62313"/>
    <w:rsid w:val="213E7BEB"/>
    <w:rsid w:val="218A3DB3"/>
    <w:rsid w:val="21EB58E7"/>
    <w:rsid w:val="242F25FA"/>
    <w:rsid w:val="250C2633"/>
    <w:rsid w:val="25DF20E1"/>
    <w:rsid w:val="25F07571"/>
    <w:rsid w:val="26566D7A"/>
    <w:rsid w:val="26785A69"/>
    <w:rsid w:val="26BC20B0"/>
    <w:rsid w:val="27433447"/>
    <w:rsid w:val="27481F77"/>
    <w:rsid w:val="281D6EEF"/>
    <w:rsid w:val="28A8713E"/>
    <w:rsid w:val="28E956E3"/>
    <w:rsid w:val="29194BAB"/>
    <w:rsid w:val="292C1F8F"/>
    <w:rsid w:val="29335093"/>
    <w:rsid w:val="29513750"/>
    <w:rsid w:val="29B41518"/>
    <w:rsid w:val="29CB7AFD"/>
    <w:rsid w:val="2A2A2D2E"/>
    <w:rsid w:val="2AA77409"/>
    <w:rsid w:val="2AE9621B"/>
    <w:rsid w:val="2C11611D"/>
    <w:rsid w:val="2C21783C"/>
    <w:rsid w:val="2C9922FB"/>
    <w:rsid w:val="2CB45D63"/>
    <w:rsid w:val="2CB73383"/>
    <w:rsid w:val="2CC85276"/>
    <w:rsid w:val="2CFB694E"/>
    <w:rsid w:val="2D2958F2"/>
    <w:rsid w:val="2D7D3C90"/>
    <w:rsid w:val="2DCC7AC8"/>
    <w:rsid w:val="2E265C19"/>
    <w:rsid w:val="2EBE2F18"/>
    <w:rsid w:val="2EF153E2"/>
    <w:rsid w:val="2EF214EF"/>
    <w:rsid w:val="2EF84EF8"/>
    <w:rsid w:val="2F040E5A"/>
    <w:rsid w:val="2F3C37F5"/>
    <w:rsid w:val="2FA36721"/>
    <w:rsid w:val="302738A6"/>
    <w:rsid w:val="30765516"/>
    <w:rsid w:val="30953705"/>
    <w:rsid w:val="30BD2283"/>
    <w:rsid w:val="30D9583B"/>
    <w:rsid w:val="3181536F"/>
    <w:rsid w:val="31985FAC"/>
    <w:rsid w:val="319C6071"/>
    <w:rsid w:val="326E5985"/>
    <w:rsid w:val="32B85545"/>
    <w:rsid w:val="32C03644"/>
    <w:rsid w:val="32DE1B84"/>
    <w:rsid w:val="32E23873"/>
    <w:rsid w:val="32F71B4C"/>
    <w:rsid w:val="33745DB8"/>
    <w:rsid w:val="33DB5A3A"/>
    <w:rsid w:val="340C77F0"/>
    <w:rsid w:val="359A173D"/>
    <w:rsid w:val="365C11D3"/>
    <w:rsid w:val="36A376AB"/>
    <w:rsid w:val="36FE2013"/>
    <w:rsid w:val="37885D55"/>
    <w:rsid w:val="385B1DBB"/>
    <w:rsid w:val="39A44657"/>
    <w:rsid w:val="3B07012B"/>
    <w:rsid w:val="3B757620"/>
    <w:rsid w:val="3B9716C1"/>
    <w:rsid w:val="3BB20B49"/>
    <w:rsid w:val="3C635158"/>
    <w:rsid w:val="3CD041E1"/>
    <w:rsid w:val="3D983173"/>
    <w:rsid w:val="3DA02173"/>
    <w:rsid w:val="3DF36883"/>
    <w:rsid w:val="3E772454"/>
    <w:rsid w:val="3E847DAD"/>
    <w:rsid w:val="3E8B11DC"/>
    <w:rsid w:val="3EF56008"/>
    <w:rsid w:val="3FBF22FD"/>
    <w:rsid w:val="3FBF4394"/>
    <w:rsid w:val="3FC25814"/>
    <w:rsid w:val="3FE05189"/>
    <w:rsid w:val="40134EAC"/>
    <w:rsid w:val="401D15BF"/>
    <w:rsid w:val="403A0848"/>
    <w:rsid w:val="40432312"/>
    <w:rsid w:val="409F121B"/>
    <w:rsid w:val="40C24631"/>
    <w:rsid w:val="412B461C"/>
    <w:rsid w:val="41554A8C"/>
    <w:rsid w:val="417845CF"/>
    <w:rsid w:val="41ED21DA"/>
    <w:rsid w:val="41FD5669"/>
    <w:rsid w:val="42B17B30"/>
    <w:rsid w:val="42C35F6C"/>
    <w:rsid w:val="43FA0D5B"/>
    <w:rsid w:val="4453760D"/>
    <w:rsid w:val="446F0FAD"/>
    <w:rsid w:val="44F14EA2"/>
    <w:rsid w:val="45753BE2"/>
    <w:rsid w:val="47220E76"/>
    <w:rsid w:val="474D154C"/>
    <w:rsid w:val="489908D8"/>
    <w:rsid w:val="49273FF9"/>
    <w:rsid w:val="49586942"/>
    <w:rsid w:val="4A013C4D"/>
    <w:rsid w:val="4A1705D7"/>
    <w:rsid w:val="4A171087"/>
    <w:rsid w:val="4A64210F"/>
    <w:rsid w:val="4A9A3470"/>
    <w:rsid w:val="4D3D193B"/>
    <w:rsid w:val="4D6E406B"/>
    <w:rsid w:val="4E58223B"/>
    <w:rsid w:val="4EFD5600"/>
    <w:rsid w:val="4FAC1D5A"/>
    <w:rsid w:val="4FBC522F"/>
    <w:rsid w:val="50A857A6"/>
    <w:rsid w:val="50C32918"/>
    <w:rsid w:val="5137310B"/>
    <w:rsid w:val="5149202C"/>
    <w:rsid w:val="51B7343A"/>
    <w:rsid w:val="523C31F2"/>
    <w:rsid w:val="53562E86"/>
    <w:rsid w:val="537216D6"/>
    <w:rsid w:val="53920B01"/>
    <w:rsid w:val="54294F47"/>
    <w:rsid w:val="54335BF2"/>
    <w:rsid w:val="544A2DC9"/>
    <w:rsid w:val="545D78A2"/>
    <w:rsid w:val="550A00FD"/>
    <w:rsid w:val="55A06BCC"/>
    <w:rsid w:val="55A577B7"/>
    <w:rsid w:val="55B569F2"/>
    <w:rsid w:val="55B8405C"/>
    <w:rsid w:val="562848DF"/>
    <w:rsid w:val="564A29DC"/>
    <w:rsid w:val="56EE45F7"/>
    <w:rsid w:val="57104A66"/>
    <w:rsid w:val="57B23613"/>
    <w:rsid w:val="5804253D"/>
    <w:rsid w:val="58A64AEB"/>
    <w:rsid w:val="58C5485D"/>
    <w:rsid w:val="58E3739B"/>
    <w:rsid w:val="596417C8"/>
    <w:rsid w:val="59DD4A93"/>
    <w:rsid w:val="5A523E42"/>
    <w:rsid w:val="5B3E0EEC"/>
    <w:rsid w:val="5BA879C4"/>
    <w:rsid w:val="5C07739C"/>
    <w:rsid w:val="5C4C5719"/>
    <w:rsid w:val="5C8843AA"/>
    <w:rsid w:val="5D941718"/>
    <w:rsid w:val="5F343C44"/>
    <w:rsid w:val="5FD9187D"/>
    <w:rsid w:val="601633AD"/>
    <w:rsid w:val="60595C65"/>
    <w:rsid w:val="608C6BD2"/>
    <w:rsid w:val="60C1275F"/>
    <w:rsid w:val="61054A93"/>
    <w:rsid w:val="61EA3081"/>
    <w:rsid w:val="62AA3D7A"/>
    <w:rsid w:val="62F432F4"/>
    <w:rsid w:val="62F84AD7"/>
    <w:rsid w:val="63332692"/>
    <w:rsid w:val="63413717"/>
    <w:rsid w:val="637F5C98"/>
    <w:rsid w:val="638C152E"/>
    <w:rsid w:val="63A90460"/>
    <w:rsid w:val="64241777"/>
    <w:rsid w:val="645A194B"/>
    <w:rsid w:val="64671171"/>
    <w:rsid w:val="655F4388"/>
    <w:rsid w:val="65D77011"/>
    <w:rsid w:val="65FC2020"/>
    <w:rsid w:val="66DC6E07"/>
    <w:rsid w:val="66EA2D16"/>
    <w:rsid w:val="673C3D0C"/>
    <w:rsid w:val="67522AFE"/>
    <w:rsid w:val="67A72688"/>
    <w:rsid w:val="67EF6AE0"/>
    <w:rsid w:val="681311FB"/>
    <w:rsid w:val="681A3CB6"/>
    <w:rsid w:val="68425A00"/>
    <w:rsid w:val="689D789A"/>
    <w:rsid w:val="69257D1E"/>
    <w:rsid w:val="694F0A52"/>
    <w:rsid w:val="69893D4C"/>
    <w:rsid w:val="6A020B77"/>
    <w:rsid w:val="6A7C295F"/>
    <w:rsid w:val="6AB13ECB"/>
    <w:rsid w:val="6B4E7991"/>
    <w:rsid w:val="6B773A4D"/>
    <w:rsid w:val="6CEE359C"/>
    <w:rsid w:val="6CFF31E9"/>
    <w:rsid w:val="6E8B2454"/>
    <w:rsid w:val="6F063902"/>
    <w:rsid w:val="6F95017F"/>
    <w:rsid w:val="6FD212CA"/>
    <w:rsid w:val="7000120A"/>
    <w:rsid w:val="701F7367"/>
    <w:rsid w:val="70511501"/>
    <w:rsid w:val="707127FD"/>
    <w:rsid w:val="71773C56"/>
    <w:rsid w:val="71B1418F"/>
    <w:rsid w:val="7204014C"/>
    <w:rsid w:val="725D4480"/>
    <w:rsid w:val="72754FFC"/>
    <w:rsid w:val="72B67150"/>
    <w:rsid w:val="72C44C1A"/>
    <w:rsid w:val="73117E08"/>
    <w:rsid w:val="73977F9E"/>
    <w:rsid w:val="74512647"/>
    <w:rsid w:val="750D2D37"/>
    <w:rsid w:val="75D17851"/>
    <w:rsid w:val="76286424"/>
    <w:rsid w:val="76602978"/>
    <w:rsid w:val="76BE662A"/>
    <w:rsid w:val="76D257E2"/>
    <w:rsid w:val="771532A0"/>
    <w:rsid w:val="771E02BF"/>
    <w:rsid w:val="771F14CD"/>
    <w:rsid w:val="77236E09"/>
    <w:rsid w:val="772A1545"/>
    <w:rsid w:val="77410D75"/>
    <w:rsid w:val="77435AB2"/>
    <w:rsid w:val="774A6527"/>
    <w:rsid w:val="77721A61"/>
    <w:rsid w:val="77A50B2A"/>
    <w:rsid w:val="77FCB2E0"/>
    <w:rsid w:val="78430586"/>
    <w:rsid w:val="788F1904"/>
    <w:rsid w:val="790F7BAF"/>
    <w:rsid w:val="794A36CE"/>
    <w:rsid w:val="795520DE"/>
    <w:rsid w:val="7A8658C6"/>
    <w:rsid w:val="7A8D1EC1"/>
    <w:rsid w:val="7BC40B41"/>
    <w:rsid w:val="7C324FED"/>
    <w:rsid w:val="7C557D24"/>
    <w:rsid w:val="7C886D91"/>
    <w:rsid w:val="7CD36CBB"/>
    <w:rsid w:val="7CE007B8"/>
    <w:rsid w:val="7DD15684"/>
    <w:rsid w:val="7DD46ACA"/>
    <w:rsid w:val="7DF55331"/>
    <w:rsid w:val="7E4651B1"/>
    <w:rsid w:val="7F305B86"/>
    <w:rsid w:val="7F9665AF"/>
    <w:rsid w:val="CAB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qFormat/>
    <w:uiPriority w:val="0"/>
    <w:rPr>
      <w:rFonts w:hint="eastAsia" w:ascii="汉仪报宋简" w:hAnsi="汉仪报宋简" w:eastAsia="汉仪报宋简" w:cs="汉仪报宋简"/>
      <w:color w:val="000000"/>
      <w:sz w:val="21"/>
      <w:szCs w:val="21"/>
      <w:u w:val="none"/>
      <w:vertAlign w:val="superscript"/>
    </w:rPr>
  </w:style>
  <w:style w:type="character" w:customStyle="1" w:styleId="8">
    <w:name w:val="font01"/>
    <w:qFormat/>
    <w:uiPriority w:val="0"/>
    <w:rPr>
      <w:rFonts w:hint="eastAsia" w:ascii="汉仪报宋简" w:hAnsi="汉仪报宋简" w:eastAsia="汉仪报宋简" w:cs="汉仪报宋简"/>
      <w:color w:val="000000"/>
      <w:sz w:val="21"/>
      <w:szCs w:val="21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91"/>
    <w:basedOn w:val="6"/>
    <w:qFormat/>
    <w:uiPriority w:val="0"/>
    <w:rPr>
      <w:rFonts w:hint="default" w:ascii="汉仪报宋简" w:hAnsi="汉仪报宋简" w:eastAsia="汉仪报宋简" w:cs="汉仪报宋简"/>
      <w:color w:val="000000"/>
      <w:sz w:val="21"/>
      <w:szCs w:val="21"/>
      <w:u w:val="none"/>
      <w:vertAlign w:val="superscript"/>
    </w:rPr>
  </w:style>
  <w:style w:type="character" w:customStyle="1" w:styleId="11">
    <w:name w:val="font71"/>
    <w:basedOn w:val="6"/>
    <w:qFormat/>
    <w:uiPriority w:val="0"/>
    <w:rPr>
      <w:rFonts w:hint="default" w:ascii="汉仪报宋简" w:hAnsi="汉仪报宋简" w:eastAsia="汉仪报宋简" w:cs="汉仪报宋简"/>
      <w:color w:val="000000"/>
      <w:sz w:val="21"/>
      <w:szCs w:val="21"/>
      <w:u w:val="none"/>
    </w:rPr>
  </w:style>
  <w:style w:type="character" w:customStyle="1" w:styleId="12">
    <w:name w:val="font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 b="0">
                <a:latin typeface="方正黑体_GBK" panose="02000000000000000000" charset="-122"/>
                <a:ea typeface="方正黑体_GBK" panose="02000000000000000000" charset="-122"/>
                <a:cs typeface="方正黑体_GBK" panose="02000000000000000000" charset="-122"/>
              </a:rPr>
              <a:t>图</a:t>
            </a:r>
            <a:r>
              <a:rPr lang="en-US" altLang="zh-CN" sz="1200" b="0">
                <a:latin typeface="方正黑体_GBK" panose="02000000000000000000" charset="-122"/>
                <a:ea typeface="方正黑体_GBK" panose="02000000000000000000" charset="-122"/>
                <a:cs typeface="方正黑体_GBK" panose="02000000000000000000" charset="-122"/>
              </a:rPr>
              <a:t>1      2019—2023</a:t>
            </a:r>
            <a:r>
              <a:rPr altLang="en-US" sz="1200" b="0">
                <a:latin typeface="方正黑体_GBK" panose="02000000000000000000" charset="-122"/>
                <a:ea typeface="方正黑体_GBK" panose="02000000000000000000" charset="-122"/>
                <a:cs typeface="方正黑体_GBK" panose="02000000000000000000" charset="-122"/>
              </a:rPr>
              <a:t>年全县地区生产总值及其增长速度</a:t>
            </a:r>
            <a:endParaRPr lang="en-US" altLang="zh-CN" sz="1200" b="0">
              <a:latin typeface="方正黑体_GBK" panose="02000000000000000000" charset="-122"/>
              <a:ea typeface="方正黑体_GBK" panose="02000000000000000000" charset="-122"/>
              <a:cs typeface="方正黑体_GBK" panose="02000000000000000000" charset="-122"/>
            </a:endParaRPr>
          </a:p>
        </c:rich>
      </c:tx>
      <c:layout>
        <c:manualLayout>
          <c:xMode val="edge"/>
          <c:yMode val="edge"/>
          <c:x val="0.198598695337038"/>
          <c:y val="0.019124521886952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全县地区生产总值（GDP）（万元）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1033301</c:v>
                </c:pt>
                <c:pt idx="1">
                  <c:v>1109522</c:v>
                </c:pt>
                <c:pt idx="2">
                  <c:v>1195977</c:v>
                </c:pt>
                <c:pt idx="3">
                  <c:v>1238761</c:v>
                </c:pt>
                <c:pt idx="4">
                  <c:v>1306198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347395094"/>
        <c:axId val="588150427"/>
      </c:barChart>
      <c:lineChart>
        <c:grouping val="standard"/>
        <c:varyColors val="0"/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47395094"/>
        <c:axId val="588150427"/>
        <c:extLst>
          <c:ext xmlns:c15="http://schemas.microsoft.com/office/drawing/2012/chart" uri="{02D57815-91ED-43cb-92C2-25804820EDAC}">
            <c15:filteredLineSeries>
              <c15:ser>
                <c:idx val="2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/>
                      </c:pt>
                    </c:strCache>
                  </c:strRef>
                </c:tx>
                <c:spPr>
                  <a:ln w="28575" cap="rnd" cmpd="sng">
                    <a:solidFill>
                      <a:schemeClr val="accent2"/>
                    </a:solidFill>
                    <a:prstDash val="solid"/>
                    <a:round/>
                  </a:ln>
                  <a:effectLst/>
                  <a:sp3d contourW="28575"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zh-CN"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Sheet1!$A$2:$A$6</c15:sqref>
                        </c15:formulaRef>
                      </c:ext>
                    </c:extLst>
                    <c:numCache>
                      <c:ptCount val="0"/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</c15:ser>
            </c15:filteredLineSeries>
          </c:ext>
        </c:extLst>
      </c:lineChart>
      <c:lineChart>
        <c:grouping val="standard"/>
        <c:varyColors val="0"/>
        <c:ser>
          <c:idx val="1"/>
          <c:order val="2"/>
          <c:tx>
            <c:strRef>
              <c:f>Sheet1!$C$1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Sheet1!$C$2:$C$6</c:f>
              <c:numCache>
                <c:formatCode>0.0_ </c:formatCode>
                <c:ptCount val="5"/>
                <c:pt idx="0">
                  <c:v>7</c:v>
                </c:pt>
                <c:pt idx="1" c:formatCode="General">
                  <c:v>2.7</c:v>
                </c:pt>
                <c:pt idx="2" c:formatCode="General">
                  <c:v>6.7</c:v>
                </c:pt>
                <c:pt idx="3" c:formatCode="General">
                  <c:v>2.7</c:v>
                </c:pt>
                <c:pt idx="4" c:formatCode="General">
                  <c:v>6.5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852879180"/>
        <c:axId val="960184680"/>
      </c:lineChart>
      <c:catAx>
        <c:axId val="34739509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8150427"/>
        <c:crosses val="autoZero"/>
        <c:auto val="1"/>
        <c:lblAlgn val="ctr"/>
        <c:lblOffset val="100"/>
        <c:noMultiLvlLbl val="0"/>
      </c:catAx>
      <c:valAx>
        <c:axId val="5881504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7395094"/>
        <c:crosses val="autoZero"/>
        <c:crossBetween val="between"/>
      </c:valAx>
      <c:catAx>
        <c:axId val="852879180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0184680"/>
        <c:crosses val="autoZero"/>
        <c:auto val="1"/>
        <c:lblAlgn val="ctr"/>
        <c:lblOffset val="100"/>
        <c:noMultiLvlLbl val="0"/>
      </c:catAx>
      <c:valAx>
        <c:axId val="960184680"/>
        <c:scaling>
          <c:orientation val="minMax"/>
        </c:scaling>
        <c:delete val="0"/>
        <c:axPos val="r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287918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0">
                <a:latin typeface="方正黑体_GBK" panose="02000000000000000000" charset="-122"/>
                <a:ea typeface="方正黑体_GBK" panose="02000000000000000000" charset="-122"/>
                <a:cs typeface="方正黑体_GBK" panose="02000000000000000000" charset="-122"/>
              </a:rPr>
              <a:t>图</a:t>
            </a:r>
            <a:r>
              <a:rPr lang="en-US" altLang="zh-CN" b="0">
                <a:latin typeface="方正黑体_GBK" panose="02000000000000000000" charset="-122"/>
                <a:ea typeface="方正黑体_GBK" panose="02000000000000000000" charset="-122"/>
                <a:cs typeface="方正黑体_GBK" panose="02000000000000000000" charset="-122"/>
              </a:rPr>
              <a:t>2      2019—2023</a:t>
            </a:r>
            <a:r>
              <a:rPr altLang="en-US" b="0">
                <a:latin typeface="方正黑体_GBK" panose="02000000000000000000" charset="-122"/>
                <a:ea typeface="方正黑体_GBK" panose="02000000000000000000" charset="-122"/>
                <a:cs typeface="方正黑体_GBK" panose="02000000000000000000" charset="-122"/>
              </a:rPr>
              <a:t>年三次产业增加值占全县地区生产总值比重</a:t>
            </a:r>
            <a:endParaRPr lang="en-US" altLang="en-US" b="0">
              <a:latin typeface="方正黑体_GBK" panose="02000000000000000000" charset="-122"/>
              <a:ea typeface="方正黑体_GBK" panose="02000000000000000000" charset="-122"/>
              <a:cs typeface="方正黑体_GBK" panose="02000000000000000000" charset="-122"/>
            </a:endParaRPr>
          </a:p>
        </c:rich>
      </c:tx>
      <c:layout>
        <c:manualLayout>
          <c:xMode val="edge"/>
          <c:yMode val="edge"/>
          <c:x val="0.120198115486833"/>
          <c:y val="0.02231194220144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第一产业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22.5</c:v>
                </c:pt>
                <c:pt idx="1">
                  <c:v>24.1</c:v>
                </c:pt>
                <c:pt idx="2">
                  <c:v>22.5</c:v>
                </c:pt>
                <c:pt idx="3">
                  <c:v>22.3</c:v>
                </c:pt>
                <c:pt idx="4">
                  <c:v>21.6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第二产业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22.8</c:v>
                </c:pt>
                <c:pt idx="1">
                  <c:v>22.9</c:v>
                </c:pt>
                <c:pt idx="2">
                  <c:v>23.4</c:v>
                </c:pt>
                <c:pt idx="3">
                  <c:v>24</c:v>
                </c:pt>
                <c:pt idx="4">
                  <c:v>26.7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第三产业</c:v>
                </c:pt>
              </c:strCache>
            </c:strRef>
          </c:tx>
          <c:spPr>
            <a:solidFill>
              <a:schemeClr val="accent3"/>
            </a:solidFill>
            <a:ln w="12700">
              <a:noFill/>
            </a:ln>
            <a:effectLst/>
            <a:sp3d contourW="12700"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54.7</c:v>
                </c:pt>
                <c:pt idx="1">
                  <c:v>53</c:v>
                </c:pt>
                <c:pt idx="2">
                  <c:v>54.1</c:v>
                </c:pt>
                <c:pt idx="3">
                  <c:v>53.7</c:v>
                </c:pt>
                <c:pt idx="4">
                  <c:v>51.7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410511632"/>
        <c:axId val="889465297"/>
      </c:barChart>
      <c:catAx>
        <c:axId val="41051163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89465297"/>
        <c:crosses val="autoZero"/>
        <c:auto val="1"/>
        <c:lblAlgn val="ctr"/>
        <c:lblOffset val="100"/>
        <c:noMultiLvlLbl val="0"/>
      </c:catAx>
      <c:valAx>
        <c:axId val="88946529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051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0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2023-02-23T16:28:00Z</dcterms:created>
  <dc:creator>Administrator</dc:creator>
  <cp:lastModifiedBy>UOS</cp:lastModifiedBy>
  <cp:lastPrinted>2023-03-24T01:49:00Z</cp:lastPrinted>
  <dcterms:modified xsi:type="dcterms:W3CDTF">2024-12-19T15:10:26Z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EA19B9DB7AD04ECDB24CBB6679A1A26F_13</vt:lpwstr>
  </property>
</Properties>
</file>