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eastAsia="zh-CN"/>
        </w:rPr>
        <w:t>巫溪</w:t>
      </w:r>
      <w:r>
        <w:rPr>
          <w:rFonts w:hint="default" w:ascii="Times New Roman" w:hAnsi="Times New Roman" w:eastAsia="方正小标宋_GBK" w:cs="Times New Roman"/>
          <w:color w:val="auto"/>
          <w:sz w:val="44"/>
          <w:szCs w:val="44"/>
          <w:vertAlign w:val="baseline"/>
          <w:lang w:eastAsia="zh-CN"/>
        </w:rPr>
        <w:t>县应急管理局</w:t>
      </w:r>
      <w:r>
        <w:rPr>
          <w:rFonts w:hint="default" w:ascii="Times New Roman" w:hAnsi="Times New Roman" w:eastAsia="方正小标宋_GBK" w:cs="Times New Roman"/>
          <w:color w:val="auto"/>
          <w:sz w:val="44"/>
          <w:szCs w:val="44"/>
          <w:vertAlign w:val="baseline"/>
          <w:lang w:val="en-US" w:eastAsia="zh-CN"/>
        </w:rPr>
        <w:t>202</w:t>
      </w:r>
      <w:r>
        <w:rPr>
          <w:rFonts w:hint="eastAsia" w:ascii="Times New Roman" w:hAnsi="Times New Roman" w:eastAsia="方正小标宋_GBK" w:cs="Times New Roman"/>
          <w:color w:val="auto"/>
          <w:sz w:val="44"/>
          <w:szCs w:val="44"/>
          <w:vertAlign w:val="baseline"/>
          <w:lang w:val="en-US" w:eastAsia="zh-CN"/>
        </w:rPr>
        <w:t>4</w:t>
      </w:r>
      <w:r>
        <w:rPr>
          <w:rFonts w:hint="default" w:ascii="Times New Roman" w:hAnsi="Times New Roman" w:eastAsia="方正小标宋_GBK" w:cs="Times New Roman"/>
          <w:color w:val="auto"/>
          <w:sz w:val="44"/>
          <w:szCs w:val="44"/>
          <w:vertAlign w:val="baseline"/>
          <w:lang w:val="en-US" w:eastAsia="zh-CN"/>
        </w:rPr>
        <w:t>年行政处罚情况</w:t>
      </w:r>
    </w:p>
    <w:p>
      <w:pPr>
        <w:jc w:val="center"/>
        <w:rPr>
          <w:rFonts w:hint="eastAsia"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val="en-US" w:eastAsia="zh-CN"/>
        </w:rPr>
        <w:t>（4月）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64"/>
        <w:gridCol w:w="1776"/>
        <w:gridCol w:w="1440"/>
        <w:gridCol w:w="2126"/>
        <w:gridCol w:w="1740"/>
        <w:gridCol w:w="1845"/>
        <w:gridCol w:w="1095"/>
        <w:gridCol w:w="10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lang w:eastAsia="zh-CN"/>
              </w:rPr>
              <w:t>序号</w:t>
            </w:r>
          </w:p>
        </w:tc>
        <w:tc>
          <w:tcPr>
            <w:tcW w:w="1464"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行政处罚决定书文号</w:t>
            </w:r>
          </w:p>
        </w:tc>
        <w:tc>
          <w:tcPr>
            <w:tcW w:w="1776"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案件名称</w:t>
            </w:r>
          </w:p>
        </w:tc>
        <w:tc>
          <w:tcPr>
            <w:tcW w:w="1440"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违法企业名称</w:t>
            </w:r>
          </w:p>
        </w:tc>
        <w:tc>
          <w:tcPr>
            <w:tcW w:w="2126"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主要违法事实</w:t>
            </w:r>
          </w:p>
        </w:tc>
        <w:tc>
          <w:tcPr>
            <w:tcW w:w="1740"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作出行政处罚的法律依据</w:t>
            </w:r>
          </w:p>
        </w:tc>
        <w:tc>
          <w:tcPr>
            <w:tcW w:w="1845"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行政处罚的内容</w:t>
            </w:r>
          </w:p>
        </w:tc>
        <w:tc>
          <w:tcPr>
            <w:tcW w:w="1095"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处罚时间</w:t>
            </w:r>
          </w:p>
        </w:tc>
        <w:tc>
          <w:tcPr>
            <w:tcW w:w="1065"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处罚单位</w:t>
            </w:r>
          </w:p>
        </w:tc>
        <w:tc>
          <w:tcPr>
            <w:tcW w:w="1020"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default" w:ascii="Times New Roman" w:hAnsi="Times New Roman" w:eastAsia="宋体" w:cs="Times New Roman"/>
                <w:b/>
                <w:bCs/>
                <w:i w:val="0"/>
                <w:iCs w:val="0"/>
                <w:caps w:val="0"/>
                <w:color w:val="auto"/>
                <w:spacing w:val="0"/>
                <w:sz w:val="21"/>
                <w:szCs w:val="21"/>
                <w:shd w:val="clear" w:fill="FFFFFF"/>
                <w:lang w:val="en-US" w:eastAsia="zh-CN"/>
              </w:rPr>
              <w:t>信息核对人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464"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 xml:space="preserve"> (巫溪)应急罚〔202</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6</w:t>
            </w:r>
            <w:r>
              <w:rPr>
                <w:rFonts w:hint="eastAsia" w:ascii="仿宋_GB2312" w:hAnsi="仿宋_GB2312" w:eastAsia="仿宋_GB2312" w:cs="仿宋_GB2312"/>
                <w:sz w:val="24"/>
                <w:szCs w:val="24"/>
                <w:u w:val="none"/>
                <w:lang w:eastAsia="zh-CN"/>
              </w:rPr>
              <w:t xml:space="preserve">号   </w:t>
            </w:r>
          </w:p>
        </w:tc>
        <w:tc>
          <w:tcPr>
            <w:tcW w:w="1776"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 xml:space="preserve"> 巫溪县光联日用百货经营部将烟花爆竹储存在经营许可证载明以外的场所案         </w:t>
            </w:r>
          </w:p>
        </w:tc>
        <w:tc>
          <w:tcPr>
            <w:tcW w:w="1440"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巫溪县光联日用百货经营部</w:t>
            </w:r>
          </w:p>
        </w:tc>
        <w:tc>
          <w:tcPr>
            <w:tcW w:w="212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将烟花爆竹储存在经营许可证载明以外的房屋内，未重新取得《烟花爆竹经营（零售）许可证》</w:t>
            </w:r>
          </w:p>
        </w:tc>
        <w:tc>
          <w:tcPr>
            <w:tcW w:w="1740"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《烟花爆竹经营许可实施办法》第三十五条第一款第一项</w:t>
            </w:r>
          </w:p>
        </w:tc>
        <w:tc>
          <w:tcPr>
            <w:tcW w:w="1845"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给予处人民币</w:t>
            </w:r>
            <w:r>
              <w:rPr>
                <w:rFonts w:hint="eastAsia" w:ascii="仿宋_GB2312" w:hAnsi="仿宋_GB2312" w:eastAsia="仿宋_GB2312" w:cs="仿宋_GB2312"/>
                <w:sz w:val="24"/>
                <w:szCs w:val="24"/>
                <w:u w:val="none"/>
                <w:lang w:val="en-US" w:eastAsia="zh-CN"/>
              </w:rPr>
              <w:t>1500</w:t>
            </w:r>
            <w:r>
              <w:rPr>
                <w:rFonts w:hint="eastAsia" w:ascii="仿宋_GB2312" w:hAnsi="仿宋_GB2312" w:eastAsia="仿宋_GB2312" w:cs="仿宋_GB2312"/>
                <w:sz w:val="24"/>
                <w:szCs w:val="24"/>
                <w:u w:val="none"/>
                <w:lang w:eastAsia="zh-CN"/>
              </w:rPr>
              <w:t>.00元（壹仟伍佰元整）罚款的行政处罚</w:t>
            </w:r>
          </w:p>
        </w:tc>
        <w:tc>
          <w:tcPr>
            <w:tcW w:w="1095" w:type="dxa"/>
            <w:vAlign w:val="center"/>
          </w:tcPr>
          <w:p>
            <w:pPr>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4月2日</w:t>
            </w:r>
          </w:p>
        </w:tc>
        <w:tc>
          <w:tcPr>
            <w:tcW w:w="1065"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巫溪县应急管理局</w:t>
            </w:r>
          </w:p>
        </w:tc>
        <w:tc>
          <w:tcPr>
            <w:tcW w:w="1020" w:type="dxa"/>
            <w:vAlign w:val="center"/>
          </w:tcPr>
          <w:p>
            <w:pPr>
              <w:jc w:val="cente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刘小燕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w:t>
            </w:r>
            <w:bookmarkStart w:id="0" w:name="_GoBack"/>
            <w:bookmarkEnd w:id="0"/>
          </w:p>
        </w:tc>
        <w:tc>
          <w:tcPr>
            <w:tcW w:w="1464"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(巫溪)应急罚〔202</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〕事前执法</w:t>
            </w:r>
            <w:r>
              <w:rPr>
                <w:rFonts w:hint="eastAsia" w:ascii="仿宋_GB2312" w:hAnsi="仿宋_GB2312" w:eastAsia="仿宋_GB2312" w:cs="仿宋_GB2312"/>
                <w:sz w:val="24"/>
                <w:szCs w:val="24"/>
                <w:u w:val="none"/>
                <w:lang w:val="en-US" w:eastAsia="zh-CN"/>
              </w:rPr>
              <w:t>7</w:t>
            </w:r>
            <w:r>
              <w:rPr>
                <w:rFonts w:hint="eastAsia" w:ascii="仿宋_GB2312" w:hAnsi="仿宋_GB2312" w:eastAsia="仿宋_GB2312" w:cs="仿宋_GB2312"/>
                <w:sz w:val="24"/>
                <w:szCs w:val="24"/>
                <w:u w:val="none"/>
                <w:lang w:eastAsia="zh-CN"/>
              </w:rPr>
              <w:t xml:space="preserve">号   </w:t>
            </w:r>
          </w:p>
        </w:tc>
        <w:tc>
          <w:tcPr>
            <w:tcW w:w="1776"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重庆市云峰山石材有限公司超核定生产能力生产案</w:t>
            </w:r>
          </w:p>
        </w:tc>
        <w:tc>
          <w:tcPr>
            <w:tcW w:w="14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重庆市云峰山石材有限公司</w:t>
            </w:r>
          </w:p>
        </w:tc>
        <w:tc>
          <w:tcPr>
            <w:tcW w:w="212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2023年度超核定生产能力生产，达63.9%。</w:t>
            </w:r>
          </w:p>
        </w:tc>
        <w:tc>
          <w:tcPr>
            <w:tcW w:w="17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《安全生产违法行为行政处罚办法》第四十五条第四项。</w:t>
            </w:r>
          </w:p>
        </w:tc>
        <w:tc>
          <w:tcPr>
            <w:tcW w:w="1845"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给予警告；处人民币</w:t>
            </w:r>
            <w:r>
              <w:rPr>
                <w:rFonts w:hint="eastAsia" w:ascii="仿宋_GB2312" w:hAnsi="仿宋_GB2312" w:eastAsia="仿宋_GB2312" w:cs="仿宋_GB2312"/>
                <w:sz w:val="24"/>
                <w:szCs w:val="24"/>
                <w:u w:val="none"/>
                <w:lang w:val="en-US" w:eastAsia="zh-CN"/>
              </w:rPr>
              <w:t>2.6万元罚款的行政处罚</w:t>
            </w:r>
          </w:p>
        </w:tc>
        <w:tc>
          <w:tcPr>
            <w:tcW w:w="1095" w:type="dxa"/>
            <w:vAlign w:val="center"/>
          </w:tcPr>
          <w:p>
            <w:pPr>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4月26日</w:t>
            </w:r>
          </w:p>
        </w:tc>
        <w:tc>
          <w:tcPr>
            <w:tcW w:w="1065" w:type="dxa"/>
            <w:vAlign w:val="center"/>
          </w:tcPr>
          <w:p>
            <w:pPr>
              <w:jc w:val="center"/>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szCs w:val="24"/>
                <w:u w:val="none"/>
                <w:lang w:val="en-US" w:eastAsia="zh-CN"/>
              </w:rPr>
              <w:t>巫溪县应急管理局</w:t>
            </w:r>
          </w:p>
        </w:tc>
        <w:tc>
          <w:tcPr>
            <w:tcW w:w="1020" w:type="dxa"/>
            <w:vAlign w:val="center"/>
          </w:tcPr>
          <w:p>
            <w:pPr>
              <w:jc w:val="center"/>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szCs w:val="24"/>
                <w:u w:val="none"/>
                <w:lang w:val="en-US" w:eastAsia="zh-CN"/>
              </w:rPr>
              <w:t>刘小燕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default" w:ascii="仿宋_GB2312" w:hAnsi="仿宋_GB2312" w:eastAsia="仿宋_GB2312" w:cs="仿宋_GB2312"/>
                <w:sz w:val="24"/>
                <w:szCs w:val="24"/>
                <w:u w:val="none"/>
                <w:lang w:val="en-US" w:eastAsia="zh-CN"/>
              </w:rPr>
            </w:pPr>
          </w:p>
        </w:tc>
        <w:tc>
          <w:tcPr>
            <w:tcW w:w="1464" w:type="dxa"/>
            <w:vAlign w:val="center"/>
          </w:tcPr>
          <w:p>
            <w:pPr>
              <w:jc w:val="both"/>
              <w:rPr>
                <w:rFonts w:hint="eastAsia" w:ascii="仿宋_GB2312" w:hAnsi="仿宋_GB2312" w:eastAsia="仿宋_GB2312" w:cs="仿宋_GB2312"/>
                <w:sz w:val="24"/>
                <w:szCs w:val="24"/>
                <w:u w:val="none"/>
                <w:lang w:eastAsia="zh-CN"/>
              </w:rPr>
            </w:pPr>
          </w:p>
        </w:tc>
        <w:tc>
          <w:tcPr>
            <w:tcW w:w="1776" w:type="dxa"/>
            <w:vAlign w:val="center"/>
          </w:tcPr>
          <w:p>
            <w:pPr>
              <w:jc w:val="both"/>
              <w:rPr>
                <w:rFonts w:hint="default" w:ascii="仿宋_GB2312" w:hAnsi="仿宋_GB2312" w:eastAsia="仿宋_GB2312" w:cs="仿宋_GB2312"/>
                <w:sz w:val="24"/>
                <w:szCs w:val="24"/>
                <w:u w:val="none"/>
                <w:lang w:val="en-US" w:eastAsia="zh-CN"/>
              </w:rPr>
            </w:pPr>
          </w:p>
        </w:tc>
        <w:tc>
          <w:tcPr>
            <w:tcW w:w="1440" w:type="dxa"/>
            <w:vAlign w:val="center"/>
          </w:tcPr>
          <w:p>
            <w:pPr>
              <w:jc w:val="both"/>
              <w:rPr>
                <w:rFonts w:hint="eastAsia" w:ascii="仿宋_GB2312" w:hAnsi="仿宋_GB2312" w:eastAsia="仿宋_GB2312" w:cs="仿宋_GB2312"/>
                <w:sz w:val="24"/>
                <w:szCs w:val="24"/>
                <w:u w:val="none"/>
                <w:lang w:eastAsia="zh-CN"/>
              </w:rPr>
            </w:pPr>
          </w:p>
        </w:tc>
        <w:tc>
          <w:tcPr>
            <w:tcW w:w="2126" w:type="dxa"/>
            <w:vAlign w:val="center"/>
          </w:tcPr>
          <w:p>
            <w:pPr>
              <w:jc w:val="both"/>
              <w:rPr>
                <w:rFonts w:hint="default" w:ascii="仿宋_GB2312" w:hAnsi="仿宋_GB2312" w:eastAsia="仿宋_GB2312" w:cs="仿宋_GB2312"/>
                <w:sz w:val="24"/>
                <w:szCs w:val="24"/>
                <w:u w:val="none"/>
                <w:lang w:val="en-US" w:eastAsia="zh-CN"/>
              </w:rPr>
            </w:pPr>
          </w:p>
        </w:tc>
        <w:tc>
          <w:tcPr>
            <w:tcW w:w="1740" w:type="dxa"/>
            <w:vAlign w:val="center"/>
          </w:tcPr>
          <w:p>
            <w:pPr>
              <w:jc w:val="both"/>
              <w:rPr>
                <w:rFonts w:hint="eastAsia" w:ascii="仿宋_GB2312" w:hAnsi="仿宋_GB2312" w:eastAsia="仿宋_GB2312" w:cs="仿宋_GB2312"/>
                <w:sz w:val="24"/>
                <w:szCs w:val="24"/>
                <w:u w:val="none"/>
                <w:lang w:eastAsia="zh-CN"/>
              </w:rPr>
            </w:pPr>
          </w:p>
        </w:tc>
        <w:tc>
          <w:tcPr>
            <w:tcW w:w="1845" w:type="dxa"/>
            <w:vAlign w:val="center"/>
          </w:tcPr>
          <w:p>
            <w:pPr>
              <w:jc w:val="both"/>
              <w:rPr>
                <w:rFonts w:hint="default" w:ascii="仿宋_GB2312" w:hAnsi="仿宋_GB2312" w:eastAsia="仿宋_GB2312" w:cs="仿宋_GB2312"/>
                <w:sz w:val="24"/>
                <w:szCs w:val="24"/>
                <w:u w:val="none"/>
                <w:lang w:val="en-US" w:eastAsia="zh-CN"/>
              </w:rPr>
            </w:pPr>
          </w:p>
        </w:tc>
        <w:tc>
          <w:tcPr>
            <w:tcW w:w="1095" w:type="dxa"/>
            <w:vAlign w:val="center"/>
          </w:tcPr>
          <w:p>
            <w:pPr>
              <w:jc w:val="center"/>
              <w:rPr>
                <w:rFonts w:hint="default" w:ascii="仿宋_GB2312" w:hAnsi="仿宋_GB2312" w:eastAsia="仿宋_GB2312" w:cs="仿宋_GB2312"/>
                <w:sz w:val="24"/>
                <w:szCs w:val="24"/>
                <w:u w:val="none"/>
                <w:lang w:val="en-US" w:eastAsia="zh-CN"/>
              </w:rPr>
            </w:pPr>
          </w:p>
        </w:tc>
        <w:tc>
          <w:tcPr>
            <w:tcW w:w="1065" w:type="dxa"/>
            <w:vAlign w:val="center"/>
          </w:tcPr>
          <w:p>
            <w:pPr>
              <w:jc w:val="center"/>
              <w:rPr>
                <w:rFonts w:hint="eastAsia" w:ascii="仿宋_GB2312" w:hAnsi="仿宋_GB2312" w:eastAsia="仿宋_GB2312" w:cs="仿宋_GB2312"/>
                <w:sz w:val="24"/>
                <w:szCs w:val="24"/>
                <w:u w:val="none"/>
                <w:lang w:val="en-US" w:eastAsia="zh-CN"/>
              </w:rPr>
            </w:pPr>
          </w:p>
        </w:tc>
        <w:tc>
          <w:tcPr>
            <w:tcW w:w="1020" w:type="dxa"/>
            <w:vAlign w:val="center"/>
          </w:tcPr>
          <w:p>
            <w:pPr>
              <w:jc w:val="center"/>
              <w:rPr>
                <w:rFonts w:hint="eastAsia" w:ascii="仿宋_GB2312" w:hAnsi="仿宋_GB2312" w:eastAsia="仿宋_GB2312" w:cs="仿宋_GB2312"/>
                <w:sz w:val="24"/>
                <w:szCs w:val="24"/>
                <w:u w:val="none"/>
                <w:lang w:val="en-US" w:eastAsia="zh-CN"/>
              </w:rPr>
            </w:pPr>
          </w:p>
        </w:tc>
      </w:tr>
    </w:tbl>
    <w:p>
      <w:pPr>
        <w:rPr>
          <w:rFonts w:hint="eastAsia" w:ascii="Times New Roman" w:hAnsi="Times New Roman" w:eastAsia="方正小标宋_GBK" w:cs="Times New Roman"/>
          <w:color w:val="auto"/>
          <w:sz w:val="44"/>
          <w:szCs w:val="44"/>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DQ3MWQyZDg0NmE5MGMyYzBkMDViYWM1NzRkMTcifQ=="/>
  </w:docVars>
  <w:rsids>
    <w:rsidRoot w:val="5897666A"/>
    <w:rsid w:val="065648B6"/>
    <w:rsid w:val="0F6737DF"/>
    <w:rsid w:val="13410A74"/>
    <w:rsid w:val="18FF7FC8"/>
    <w:rsid w:val="1AF91176"/>
    <w:rsid w:val="21E83B15"/>
    <w:rsid w:val="238C0DC0"/>
    <w:rsid w:val="2B205A44"/>
    <w:rsid w:val="34B45835"/>
    <w:rsid w:val="361A5518"/>
    <w:rsid w:val="3966519D"/>
    <w:rsid w:val="3E8752F1"/>
    <w:rsid w:val="49C8410F"/>
    <w:rsid w:val="4DE465C8"/>
    <w:rsid w:val="5897666A"/>
    <w:rsid w:val="5CA546F2"/>
    <w:rsid w:val="61877CA4"/>
    <w:rsid w:val="68A145FF"/>
    <w:rsid w:val="69555325"/>
    <w:rsid w:val="6A4D29E3"/>
    <w:rsid w:val="6B2F52DC"/>
    <w:rsid w:val="75BD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 w:type="paragraph" w:customStyle="1" w:styleId="6">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2023-10-30T08:35:00Z</dcterms:created>
  <dc:creator>Administrator</dc:creator>
  <cp:lastModifiedBy>AA平安综合金融~郑桃元</cp:lastModifiedBy>
  <dcterms:modified xsi:type="dcterms:W3CDTF">2024-04-26T06:44:20Z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DEBD844ECF964C888E148217BA7EA471_12</vt:lpwstr>
  </property>
</Properties>
</file>