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eastAsia="zh-CN"/>
        </w:rPr>
        <w:t>巫溪</w:t>
      </w:r>
      <w:r>
        <w:rPr>
          <w:rFonts w:hint="default" w:ascii="Times New Roman" w:hAnsi="Times New Roman" w:eastAsia="方正小标宋_GBK" w:cs="Times New Roman"/>
          <w:color w:val="auto"/>
          <w:sz w:val="44"/>
          <w:szCs w:val="44"/>
          <w:vertAlign w:val="baseline"/>
          <w:lang w:eastAsia="zh-CN"/>
        </w:rPr>
        <w:t>县应急管理局</w:t>
      </w:r>
      <w:r>
        <w:rPr>
          <w:rFonts w:hint="default" w:ascii="Times New Roman" w:hAnsi="Times New Roman" w:eastAsia="方正小标宋_GBK" w:cs="Times New Roman"/>
          <w:color w:val="auto"/>
          <w:sz w:val="44"/>
          <w:szCs w:val="44"/>
          <w:vertAlign w:val="baseline"/>
          <w:lang w:val="en-US" w:eastAsia="zh-CN"/>
        </w:rPr>
        <w:t>202</w:t>
      </w:r>
      <w:r>
        <w:rPr>
          <w:rFonts w:hint="eastAsia" w:ascii="Times New Roman" w:hAnsi="Times New Roman" w:eastAsia="方正小标宋_GBK" w:cs="Times New Roman"/>
          <w:color w:val="auto"/>
          <w:sz w:val="44"/>
          <w:szCs w:val="44"/>
          <w:vertAlign w:val="baseline"/>
          <w:lang w:val="en-US" w:eastAsia="zh-CN"/>
        </w:rPr>
        <w:t>4</w:t>
      </w:r>
      <w:r>
        <w:rPr>
          <w:rFonts w:hint="default" w:ascii="Times New Roman" w:hAnsi="Times New Roman" w:eastAsia="方正小标宋_GBK" w:cs="Times New Roman"/>
          <w:color w:val="auto"/>
          <w:sz w:val="44"/>
          <w:szCs w:val="44"/>
          <w:vertAlign w:val="baseline"/>
          <w:lang w:val="en-US" w:eastAsia="zh-CN"/>
        </w:rPr>
        <w:t>年行政处罚情况</w:t>
      </w:r>
    </w:p>
    <w:p>
      <w:pPr>
        <w:jc w:val="center"/>
        <w:rPr>
          <w:rFonts w:hint="eastAsia" w:ascii="Times New Roman" w:hAnsi="Times New Roman" w:eastAsia="方正小标宋_GBK" w:cs="Times New Roman"/>
          <w:color w:val="auto"/>
          <w:sz w:val="44"/>
          <w:szCs w:val="44"/>
          <w:vertAlign w:val="baseline"/>
          <w:lang w:val="en-US" w:eastAsia="zh-CN"/>
        </w:rPr>
      </w:pPr>
      <w:r>
        <w:rPr>
          <w:rFonts w:hint="eastAsia" w:ascii="Times New Roman" w:hAnsi="Times New Roman" w:eastAsia="方正小标宋_GBK" w:cs="Times New Roman"/>
          <w:color w:val="auto"/>
          <w:sz w:val="44"/>
          <w:szCs w:val="44"/>
          <w:vertAlign w:val="baseline"/>
          <w:lang w:val="en-US" w:eastAsia="zh-CN"/>
        </w:rPr>
        <w:t>（6月）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464"/>
        <w:gridCol w:w="1776"/>
        <w:gridCol w:w="1440"/>
        <w:gridCol w:w="2126"/>
        <w:gridCol w:w="1740"/>
        <w:gridCol w:w="1845"/>
        <w:gridCol w:w="1095"/>
        <w:gridCol w:w="106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lang w:eastAsia="zh-CN"/>
              </w:rPr>
              <w:t>序号</w:t>
            </w:r>
          </w:p>
        </w:tc>
        <w:tc>
          <w:tcPr>
            <w:tcW w:w="1464"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行政处罚决定书文号</w:t>
            </w:r>
          </w:p>
        </w:tc>
        <w:tc>
          <w:tcPr>
            <w:tcW w:w="1776"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案件名称</w:t>
            </w:r>
          </w:p>
        </w:tc>
        <w:tc>
          <w:tcPr>
            <w:tcW w:w="1440"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违法企业名称</w:t>
            </w:r>
          </w:p>
        </w:tc>
        <w:tc>
          <w:tcPr>
            <w:tcW w:w="2126"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主要违法事实</w:t>
            </w:r>
          </w:p>
        </w:tc>
        <w:tc>
          <w:tcPr>
            <w:tcW w:w="1740"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作出行政处罚的法律依据</w:t>
            </w:r>
          </w:p>
        </w:tc>
        <w:tc>
          <w:tcPr>
            <w:tcW w:w="1845" w:type="dxa"/>
            <w:vAlign w:val="center"/>
          </w:tcPr>
          <w:p>
            <w:pPr>
              <w:spacing w:line="240" w:lineRule="auto"/>
              <w:jc w:val="center"/>
              <w:rPr>
                <w:rFonts w:hint="eastAsia" w:ascii="Times New Roman" w:hAnsi="Times New Roman" w:eastAsia="宋体" w:cs="Times New Roman"/>
                <w:b/>
                <w:bCs/>
                <w:i w:val="0"/>
                <w:iCs w:val="0"/>
                <w:caps w:val="0"/>
                <w:color w:val="auto"/>
                <w:spacing w:val="0"/>
                <w:kern w:val="2"/>
                <w:sz w:val="21"/>
                <w:szCs w:val="21"/>
                <w:shd w:val="clear" w:fill="FFFFFF"/>
                <w:lang w:val="en-US" w:eastAsia="zh-CN" w:bidi="ar-SA"/>
              </w:rPr>
            </w:pPr>
            <w:r>
              <w:rPr>
                <w:rStyle w:val="5"/>
                <w:rFonts w:hint="default" w:ascii="Times New Roman" w:hAnsi="Times New Roman" w:eastAsia="宋体" w:cs="Times New Roman"/>
                <w:b/>
                <w:bCs/>
                <w:i w:val="0"/>
                <w:iCs w:val="0"/>
                <w:caps w:val="0"/>
                <w:color w:val="auto"/>
                <w:spacing w:val="0"/>
                <w:sz w:val="21"/>
                <w:szCs w:val="21"/>
                <w:shd w:val="clear" w:fill="FFFFFF"/>
              </w:rPr>
              <w:t>行政处罚的内容</w:t>
            </w:r>
          </w:p>
        </w:tc>
        <w:tc>
          <w:tcPr>
            <w:tcW w:w="1095"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处罚时间</w:t>
            </w:r>
          </w:p>
        </w:tc>
        <w:tc>
          <w:tcPr>
            <w:tcW w:w="1065"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eastAsia" w:ascii="Times New Roman" w:hAnsi="Times New Roman" w:eastAsia="宋体" w:cs="Times New Roman"/>
                <w:b/>
                <w:bCs/>
                <w:i w:val="0"/>
                <w:iCs w:val="0"/>
                <w:caps w:val="0"/>
                <w:color w:val="auto"/>
                <w:spacing w:val="0"/>
                <w:sz w:val="21"/>
                <w:szCs w:val="21"/>
                <w:shd w:val="clear" w:fill="FFFFFF"/>
                <w:lang w:val="en-US" w:eastAsia="zh-CN"/>
              </w:rPr>
              <w:t>处罚单位</w:t>
            </w:r>
          </w:p>
        </w:tc>
        <w:tc>
          <w:tcPr>
            <w:tcW w:w="1020" w:type="dxa"/>
            <w:vAlign w:val="center"/>
          </w:tcPr>
          <w:p>
            <w:pPr>
              <w:spacing w:line="240" w:lineRule="auto"/>
              <w:jc w:val="center"/>
              <w:rPr>
                <w:rStyle w:val="5"/>
                <w:rFonts w:hint="eastAsia" w:ascii="Times New Roman" w:hAnsi="Times New Roman" w:eastAsia="宋体" w:cs="Times New Roman"/>
                <w:b/>
                <w:bCs/>
                <w:i w:val="0"/>
                <w:iCs w:val="0"/>
                <w:caps w:val="0"/>
                <w:color w:val="auto"/>
                <w:spacing w:val="0"/>
                <w:sz w:val="21"/>
                <w:szCs w:val="21"/>
                <w:shd w:val="clear" w:fill="FFFFFF"/>
                <w:lang w:val="en-US" w:eastAsia="zh-CN"/>
              </w:rPr>
            </w:pPr>
            <w:r>
              <w:rPr>
                <w:rStyle w:val="5"/>
                <w:rFonts w:hint="default" w:ascii="Times New Roman" w:hAnsi="Times New Roman" w:eastAsia="宋体" w:cs="Times New Roman"/>
                <w:b/>
                <w:bCs/>
                <w:i w:val="0"/>
                <w:iCs w:val="0"/>
                <w:caps w:val="0"/>
                <w:color w:val="auto"/>
                <w:spacing w:val="0"/>
                <w:sz w:val="21"/>
                <w:szCs w:val="21"/>
                <w:shd w:val="clear" w:fill="FFFFFF"/>
                <w:lang w:val="en-US" w:eastAsia="zh-CN"/>
              </w:rPr>
              <w:t>信息核对人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w:t>
            </w:r>
          </w:p>
        </w:tc>
        <w:tc>
          <w:tcPr>
            <w:tcW w:w="1464"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(巫溪)应急罚〔202</w:t>
            </w:r>
            <w:r>
              <w:rPr>
                <w:rFonts w:hint="eastAsia" w:ascii="仿宋_GB2312" w:hAnsi="仿宋_GB2312" w:eastAsia="仿宋_GB2312" w:cs="仿宋_GB2312"/>
                <w:sz w:val="24"/>
                <w:szCs w:val="24"/>
                <w:u w:val="none"/>
                <w:lang w:val="en-US" w:eastAsia="zh-CN"/>
              </w:rPr>
              <w:t>4</w:t>
            </w:r>
            <w:r>
              <w:rPr>
                <w:rFonts w:hint="eastAsia" w:ascii="仿宋_GB2312" w:hAnsi="仿宋_GB2312" w:eastAsia="仿宋_GB2312" w:cs="仿宋_GB2312"/>
                <w:sz w:val="24"/>
                <w:szCs w:val="24"/>
                <w:u w:val="none"/>
                <w:lang w:eastAsia="zh-CN"/>
              </w:rPr>
              <w:t>〕事前执法</w:t>
            </w:r>
            <w:r>
              <w:rPr>
                <w:rFonts w:hint="eastAsia" w:ascii="仿宋_GB2312" w:hAnsi="仿宋_GB2312" w:eastAsia="仿宋_GB2312" w:cs="仿宋_GB2312"/>
                <w:sz w:val="24"/>
                <w:szCs w:val="24"/>
                <w:u w:val="none"/>
                <w:lang w:val="en-US" w:eastAsia="zh-CN"/>
              </w:rPr>
              <w:t>10</w:t>
            </w:r>
            <w:r>
              <w:rPr>
                <w:rFonts w:hint="eastAsia" w:ascii="仿宋_GB2312" w:hAnsi="仿宋_GB2312" w:eastAsia="仿宋_GB2312" w:cs="仿宋_GB2312"/>
                <w:sz w:val="24"/>
                <w:szCs w:val="24"/>
                <w:u w:val="none"/>
                <w:lang w:eastAsia="zh-CN"/>
              </w:rPr>
              <w:t xml:space="preserve">号   </w:t>
            </w:r>
          </w:p>
        </w:tc>
        <w:tc>
          <w:tcPr>
            <w:tcW w:w="1776" w:type="dxa"/>
            <w:vAlign w:val="center"/>
          </w:tcPr>
          <w:p>
            <w:pPr>
              <w:jc w:val="both"/>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巫溪县天环石油有限公司违反卸油操作规程卸油案</w:t>
            </w:r>
          </w:p>
        </w:tc>
        <w:tc>
          <w:tcPr>
            <w:tcW w:w="14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val="en-US" w:eastAsia="zh-CN"/>
              </w:rPr>
              <w:t>巫溪县天环石油有限公司</w:t>
            </w:r>
          </w:p>
        </w:tc>
        <w:tc>
          <w:tcPr>
            <w:tcW w:w="2126"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2024年5月29日巫溪县天环石油有限公司在卸油过程中，一名从业人员进入卸油区未先通过具有报警功能的人体静电释放装置消除人体静电从事卸油操作。</w:t>
            </w:r>
          </w:p>
        </w:tc>
        <w:tc>
          <w:tcPr>
            <w:tcW w:w="1740" w:type="dxa"/>
            <w:vAlign w:val="center"/>
          </w:tcPr>
          <w:p>
            <w:pPr>
              <w:jc w:val="both"/>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u w:val="none"/>
                <w:lang w:eastAsia="zh-CN"/>
              </w:rPr>
              <w:t>《安全生产违法行为行政处罚办法》第四十五条第一项。</w:t>
            </w:r>
          </w:p>
        </w:tc>
        <w:tc>
          <w:tcPr>
            <w:tcW w:w="1845" w:type="dxa"/>
            <w:vAlign w:val="center"/>
          </w:tcPr>
          <w:p>
            <w:pPr>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eastAsia="zh-CN"/>
              </w:rPr>
              <w:t>给予警告；处人民币</w:t>
            </w:r>
            <w:r>
              <w:rPr>
                <w:rFonts w:hint="eastAsia" w:ascii="仿宋_GB2312" w:hAnsi="仿宋_GB2312" w:eastAsia="仿宋_GB2312" w:cs="仿宋_GB2312"/>
                <w:sz w:val="24"/>
                <w:szCs w:val="24"/>
                <w:u w:val="none"/>
                <w:lang w:val="en-US" w:eastAsia="zh-CN"/>
              </w:rPr>
              <w:t>1.1万元罚款的行政处罚</w:t>
            </w:r>
          </w:p>
        </w:tc>
        <w:tc>
          <w:tcPr>
            <w:tcW w:w="1095" w:type="dxa"/>
            <w:vAlign w:val="center"/>
          </w:tcPr>
          <w:p>
            <w:pPr>
              <w:jc w:val="center"/>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6月25日</w:t>
            </w:r>
          </w:p>
        </w:tc>
        <w:tc>
          <w:tcPr>
            <w:tcW w:w="1065" w:type="dxa"/>
            <w:vAlign w:val="center"/>
          </w:tcPr>
          <w:p>
            <w:pPr>
              <w:jc w:val="center"/>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szCs w:val="24"/>
                <w:u w:val="none"/>
                <w:lang w:val="en-US" w:eastAsia="zh-CN"/>
              </w:rPr>
              <w:t>巫溪县应急管</w:t>
            </w:r>
            <w:bookmarkStart w:id="0" w:name="_GoBack"/>
            <w:bookmarkEnd w:id="0"/>
            <w:r>
              <w:rPr>
                <w:rFonts w:hint="eastAsia" w:ascii="仿宋_GB2312" w:hAnsi="仿宋_GB2312" w:eastAsia="仿宋_GB2312" w:cs="仿宋_GB2312"/>
                <w:sz w:val="24"/>
                <w:szCs w:val="24"/>
                <w:u w:val="none"/>
                <w:lang w:val="en-US" w:eastAsia="zh-CN"/>
              </w:rPr>
              <w:t>理局</w:t>
            </w:r>
          </w:p>
        </w:tc>
        <w:tc>
          <w:tcPr>
            <w:tcW w:w="1020" w:type="dxa"/>
            <w:vAlign w:val="center"/>
          </w:tcPr>
          <w:p>
            <w:pPr>
              <w:jc w:val="center"/>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szCs w:val="24"/>
                <w:u w:val="none"/>
                <w:lang w:val="en-US" w:eastAsia="zh-CN"/>
              </w:rPr>
              <w:t>刘小燕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jc w:val="both"/>
              <w:rPr>
                <w:rFonts w:hint="default" w:ascii="仿宋_GB2312" w:hAnsi="仿宋_GB2312" w:eastAsia="仿宋_GB2312" w:cs="仿宋_GB2312"/>
                <w:sz w:val="24"/>
                <w:szCs w:val="24"/>
                <w:u w:val="none"/>
                <w:lang w:val="en-US" w:eastAsia="zh-CN"/>
              </w:rPr>
            </w:pPr>
          </w:p>
        </w:tc>
        <w:tc>
          <w:tcPr>
            <w:tcW w:w="1464" w:type="dxa"/>
            <w:vAlign w:val="center"/>
          </w:tcPr>
          <w:p>
            <w:pPr>
              <w:jc w:val="both"/>
              <w:rPr>
                <w:rFonts w:hint="eastAsia" w:ascii="仿宋_GB2312" w:hAnsi="仿宋_GB2312" w:eastAsia="仿宋_GB2312" w:cs="仿宋_GB2312"/>
                <w:sz w:val="24"/>
                <w:szCs w:val="24"/>
                <w:u w:val="none"/>
                <w:lang w:eastAsia="zh-CN"/>
              </w:rPr>
            </w:pPr>
          </w:p>
        </w:tc>
        <w:tc>
          <w:tcPr>
            <w:tcW w:w="1776" w:type="dxa"/>
            <w:vAlign w:val="center"/>
          </w:tcPr>
          <w:p>
            <w:pPr>
              <w:jc w:val="both"/>
              <w:rPr>
                <w:rFonts w:hint="default" w:ascii="仿宋_GB2312" w:hAnsi="仿宋_GB2312" w:eastAsia="仿宋_GB2312" w:cs="仿宋_GB2312"/>
                <w:sz w:val="24"/>
                <w:szCs w:val="24"/>
                <w:u w:val="none"/>
                <w:lang w:val="en-US" w:eastAsia="zh-CN"/>
              </w:rPr>
            </w:pPr>
          </w:p>
        </w:tc>
        <w:tc>
          <w:tcPr>
            <w:tcW w:w="1440" w:type="dxa"/>
            <w:vAlign w:val="center"/>
          </w:tcPr>
          <w:p>
            <w:pPr>
              <w:jc w:val="both"/>
              <w:rPr>
                <w:rFonts w:hint="eastAsia" w:ascii="仿宋_GB2312" w:hAnsi="仿宋_GB2312" w:eastAsia="仿宋_GB2312" w:cs="仿宋_GB2312"/>
                <w:sz w:val="24"/>
                <w:szCs w:val="24"/>
                <w:u w:val="none"/>
                <w:lang w:eastAsia="zh-CN"/>
              </w:rPr>
            </w:pPr>
          </w:p>
        </w:tc>
        <w:tc>
          <w:tcPr>
            <w:tcW w:w="2126" w:type="dxa"/>
            <w:vAlign w:val="center"/>
          </w:tcPr>
          <w:p>
            <w:pPr>
              <w:jc w:val="both"/>
              <w:rPr>
                <w:rFonts w:hint="default" w:ascii="仿宋_GB2312" w:hAnsi="仿宋_GB2312" w:eastAsia="仿宋_GB2312" w:cs="仿宋_GB2312"/>
                <w:sz w:val="24"/>
                <w:szCs w:val="24"/>
                <w:u w:val="none"/>
                <w:lang w:val="en-US" w:eastAsia="zh-CN"/>
              </w:rPr>
            </w:pPr>
          </w:p>
        </w:tc>
        <w:tc>
          <w:tcPr>
            <w:tcW w:w="1740" w:type="dxa"/>
            <w:vAlign w:val="center"/>
          </w:tcPr>
          <w:p>
            <w:pPr>
              <w:jc w:val="both"/>
              <w:rPr>
                <w:rFonts w:hint="eastAsia" w:ascii="仿宋_GB2312" w:hAnsi="仿宋_GB2312" w:eastAsia="仿宋_GB2312" w:cs="仿宋_GB2312"/>
                <w:sz w:val="24"/>
                <w:szCs w:val="24"/>
                <w:u w:val="none"/>
                <w:lang w:eastAsia="zh-CN"/>
              </w:rPr>
            </w:pPr>
          </w:p>
        </w:tc>
        <w:tc>
          <w:tcPr>
            <w:tcW w:w="1845" w:type="dxa"/>
            <w:vAlign w:val="center"/>
          </w:tcPr>
          <w:p>
            <w:pPr>
              <w:jc w:val="both"/>
              <w:rPr>
                <w:rFonts w:hint="default" w:ascii="仿宋_GB2312" w:hAnsi="仿宋_GB2312" w:eastAsia="仿宋_GB2312" w:cs="仿宋_GB2312"/>
                <w:sz w:val="24"/>
                <w:szCs w:val="24"/>
                <w:u w:val="none"/>
                <w:lang w:val="en-US" w:eastAsia="zh-CN"/>
              </w:rPr>
            </w:pPr>
          </w:p>
        </w:tc>
        <w:tc>
          <w:tcPr>
            <w:tcW w:w="1095" w:type="dxa"/>
            <w:vAlign w:val="center"/>
          </w:tcPr>
          <w:p>
            <w:pPr>
              <w:jc w:val="center"/>
              <w:rPr>
                <w:rFonts w:hint="default" w:ascii="仿宋_GB2312" w:hAnsi="仿宋_GB2312" w:eastAsia="仿宋_GB2312" w:cs="仿宋_GB2312"/>
                <w:sz w:val="24"/>
                <w:szCs w:val="24"/>
                <w:u w:val="none"/>
                <w:lang w:val="en-US" w:eastAsia="zh-CN"/>
              </w:rPr>
            </w:pPr>
          </w:p>
        </w:tc>
        <w:tc>
          <w:tcPr>
            <w:tcW w:w="1065" w:type="dxa"/>
            <w:vAlign w:val="center"/>
          </w:tcPr>
          <w:p>
            <w:pPr>
              <w:jc w:val="center"/>
              <w:rPr>
                <w:rFonts w:hint="eastAsia" w:ascii="仿宋_GB2312" w:hAnsi="仿宋_GB2312" w:eastAsia="仿宋_GB2312" w:cs="仿宋_GB2312"/>
                <w:sz w:val="24"/>
                <w:szCs w:val="24"/>
                <w:u w:val="none"/>
                <w:lang w:val="en-US" w:eastAsia="zh-CN"/>
              </w:rPr>
            </w:pPr>
          </w:p>
        </w:tc>
        <w:tc>
          <w:tcPr>
            <w:tcW w:w="1020" w:type="dxa"/>
            <w:vAlign w:val="center"/>
          </w:tcPr>
          <w:p>
            <w:pPr>
              <w:jc w:val="center"/>
              <w:rPr>
                <w:rFonts w:hint="eastAsia" w:ascii="仿宋_GB2312" w:hAnsi="仿宋_GB2312" w:eastAsia="仿宋_GB2312" w:cs="仿宋_GB2312"/>
                <w:sz w:val="24"/>
                <w:szCs w:val="24"/>
                <w:u w:val="none"/>
                <w:lang w:val="en-US" w:eastAsia="zh-CN"/>
              </w:rPr>
            </w:pPr>
          </w:p>
        </w:tc>
      </w:tr>
    </w:tbl>
    <w:p>
      <w:pPr>
        <w:rPr>
          <w:rFonts w:hint="eastAsia" w:ascii="Times New Roman" w:hAnsi="Times New Roman" w:eastAsia="方正小标宋_GBK" w:cs="Times New Roman"/>
          <w:color w:val="auto"/>
          <w:sz w:val="44"/>
          <w:szCs w:val="44"/>
          <w:vertAlign w:val="baseli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MDQ3MWQyZDg0NmE5MGMyYzBkMDViYWM1NzRkMTcifQ=="/>
  </w:docVars>
  <w:rsids>
    <w:rsidRoot w:val="5897666A"/>
    <w:rsid w:val="065648B6"/>
    <w:rsid w:val="0F6737DF"/>
    <w:rsid w:val="13410A74"/>
    <w:rsid w:val="18FF7FC8"/>
    <w:rsid w:val="1AF91176"/>
    <w:rsid w:val="21E83B15"/>
    <w:rsid w:val="238C0DC0"/>
    <w:rsid w:val="2B205A44"/>
    <w:rsid w:val="34B45835"/>
    <w:rsid w:val="361A5518"/>
    <w:rsid w:val="385C788A"/>
    <w:rsid w:val="3966519D"/>
    <w:rsid w:val="3E8752F1"/>
    <w:rsid w:val="49C8410F"/>
    <w:rsid w:val="4DE465C8"/>
    <w:rsid w:val="5897666A"/>
    <w:rsid w:val="5CA546F2"/>
    <w:rsid w:val="61877CA4"/>
    <w:rsid w:val="64EF63FE"/>
    <w:rsid w:val="68A145FF"/>
    <w:rsid w:val="69555325"/>
    <w:rsid w:val="6A4D29E3"/>
    <w:rsid w:val="6B2F52DC"/>
    <w:rsid w:val="75BD4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paragraph" w:customStyle="1" w:styleId="6">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2023-10-30T08:35:00Z</dcterms:created>
  <dc:creator>Administrator</dc:creator>
  <cp:lastModifiedBy>郑桃元</cp:lastModifiedBy>
  <dcterms:modified xsi:type="dcterms:W3CDTF">2024-06-28T04:24:22Z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DEBD844ECF964C888E148217BA7EA471_12</vt:lpwstr>
  </property>
</Properties>
</file>