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巫溪县应急管理局</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 New Roman" w:hAnsi="Times New Roman" w:eastAsia="方正小标宋_GBK" w:cs="Times New Roman"/>
          <w:color w:val="000000" w:themeColor="text1"/>
          <w:sz w:val="44"/>
          <w:szCs w:val="44"/>
          <w:shd w:val="clear" w:color="auto" w:fill="FFFFFF"/>
          <w14:textFill>
            <w14:solidFill>
              <w14:schemeClr w14:val="tx1"/>
            </w14:solidFill>
          </w14:textFill>
        </w:rPr>
      </w:pPr>
      <w:r>
        <w:rPr>
          <w:rFonts w:hint="default" w:ascii="Times New Roman" w:hAnsi="Times New Roman" w:eastAsia="方正小标宋_GBK" w:cs="Times New Roman"/>
          <w:color w:val="000000" w:themeColor="text1"/>
          <w:sz w:val="44"/>
          <w:szCs w:val="44"/>
          <w:shd w:val="clear" w:color="auto" w:fill="FFFFFF"/>
          <w14:textFill>
            <w14:solidFill>
              <w14:schemeClr w14:val="tx1"/>
            </w14:solidFill>
          </w14:textFill>
        </w:rPr>
        <w:t>2023年度决算公开说明</w:t>
      </w:r>
    </w:p>
    <w:p>
      <w:pPr>
        <w:keepNext w:val="0"/>
        <w:keepLines w:val="0"/>
        <w:pageBreakBefore w:val="0"/>
        <w:widowControl w:val="0"/>
        <w:suppressLineNumbers w:val="0"/>
        <w:kinsoku/>
        <w:wordWrap/>
        <w:overflowPunct/>
        <w:topLinePunct w:val="0"/>
        <w:autoSpaceDE w:val="0"/>
        <w:autoSpaceDN/>
        <w:bidi w:val="0"/>
        <w:adjustRightInd/>
        <w:snapToGrid/>
        <w:spacing w:beforeAutospacing="0" w:line="600" w:lineRule="exact"/>
        <w:ind w:right="0" w:rightChars="0"/>
        <w:jc w:val="both"/>
        <w:textAlignment w:val="auto"/>
        <w:rPr>
          <w:rFonts w:hint="default" w:ascii="Times New Roman" w:hAnsi="Times New Roman" w:eastAsia="方正黑体_GBK" w:cs="Times New Roman"/>
          <w:color w:val="000000" w:themeColor="text1"/>
          <w:kern w:val="0"/>
          <w:sz w:val="32"/>
          <w:szCs w:val="32"/>
          <w14:textFill>
            <w14:solidFill>
              <w14:schemeClr w14:val="tx1"/>
            </w14:solidFill>
          </w14:textFill>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line="600" w:lineRule="exact"/>
        <w:ind w:right="0" w:rightChars="0"/>
        <w:jc w:val="both"/>
        <w:textAlignment w:val="auto"/>
        <w:rPr>
          <w:rFonts w:hint="default" w:ascii="Times New Roman" w:hAnsi="Times New Roman" w:eastAsia="方正黑体_GBK" w:cs="Times New Roman"/>
          <w:color w:val="000000" w:themeColor="text1"/>
          <w:kern w:val="0"/>
          <w:sz w:val="32"/>
          <w:szCs w:val="32"/>
          <w14:textFill>
            <w14:solidFill>
              <w14:schemeClr w14:val="tx1"/>
            </w14:solidFill>
          </w14:textFill>
        </w:rPr>
      </w:pPr>
      <w:r>
        <w:rPr>
          <w:rFonts w:hint="default" w:ascii="Times New Roman" w:hAnsi="Times New Roman" w:eastAsia="方正黑体_GBK" w:cs="Times New Roman"/>
          <w:color w:val="000000" w:themeColor="text1"/>
          <w:kern w:val="0"/>
          <w:sz w:val="32"/>
          <w:szCs w:val="32"/>
          <w14:textFill>
            <w14:solidFill>
              <w14:schemeClr w14:val="tx1"/>
            </w14:solidFill>
          </w14:textFill>
        </w:rPr>
        <w:t>一、</w:t>
      </w:r>
      <w:r>
        <w:rPr>
          <w:rFonts w:hint="eastAsia" w:ascii="Times New Roman" w:hAnsi="Times New Roman" w:eastAsia="方正黑体_GBK" w:cs="Times New Roman"/>
          <w:color w:val="000000" w:themeColor="text1"/>
          <w:kern w:val="0"/>
          <w:sz w:val="32"/>
          <w:szCs w:val="32"/>
          <w:lang w:val="en-US" w:eastAsia="zh-CN"/>
          <w14:textFill>
            <w14:solidFill>
              <w14:schemeClr w14:val="tx1"/>
            </w14:solidFill>
          </w14:textFill>
        </w:rPr>
        <w:t>部门</w:t>
      </w:r>
      <w:r>
        <w:rPr>
          <w:rFonts w:hint="default" w:ascii="Times New Roman" w:hAnsi="Times New Roman" w:eastAsia="方正黑体_GBK" w:cs="Times New Roman"/>
          <w:color w:val="000000" w:themeColor="text1"/>
          <w:kern w:val="0"/>
          <w:sz w:val="32"/>
          <w:szCs w:val="32"/>
          <w14:textFill>
            <w14:solidFill>
              <w14:schemeClr w14:val="tx1"/>
            </w14:solidFill>
          </w14:textFill>
        </w:rPr>
        <w:t>基本情况</w:t>
      </w:r>
    </w:p>
    <w:p>
      <w:pPr>
        <w:keepNext w:val="0"/>
        <w:keepLines w:val="0"/>
        <w:pageBreakBefore w:val="0"/>
        <w:widowControl w:val="0"/>
        <w:suppressLineNumbers w:val="0"/>
        <w:kinsoku/>
        <w:wordWrap/>
        <w:overflowPunct/>
        <w:topLinePunct w:val="0"/>
        <w:autoSpaceDE w:val="0"/>
        <w:autoSpaceDN/>
        <w:bidi w:val="0"/>
        <w:adjustRightInd/>
        <w:snapToGri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（一）职能职责</w:t>
      </w:r>
    </w:p>
    <w:p>
      <w:pPr>
        <w:keepNext w:val="0"/>
        <w:keepLines w:val="0"/>
        <w:pageBreakBefore w:val="0"/>
        <w:widowControl w:val="0"/>
        <w:suppressLineNumbers w:val="0"/>
        <w:kinsoku/>
        <w:wordWrap/>
        <w:overflowPunct/>
        <w:topLinePunct w:val="0"/>
        <w:autoSpaceDE w:val="0"/>
        <w:autoSpaceDN/>
        <w:bidi w:val="0"/>
        <w:adjustRightInd/>
        <w:snapToGri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1.负责应急管理工作，指导各级各部门应对安全生产类、自然灾害类等突发事件和综合防灾减灾救灾工作。负责安全生产综合监督管理和工矿商贸行业安全生产监督管理工作。</w:t>
      </w:r>
    </w:p>
    <w:p>
      <w:pPr>
        <w:keepNext w:val="0"/>
        <w:keepLines w:val="0"/>
        <w:pageBreakBefore w:val="0"/>
        <w:widowControl w:val="0"/>
        <w:suppressLineNumbers w:val="0"/>
        <w:kinsoku/>
        <w:wordWrap/>
        <w:overflowPunct/>
        <w:topLinePunct w:val="0"/>
        <w:autoSpaceDE w:val="0"/>
        <w:autoSpaceDN/>
        <w:bidi w:val="0"/>
        <w:adjustRightInd/>
        <w:snapToGri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2.贯彻执行应急管理、安全生产等政策规定，组织编制全县应急体系建设、安全生产和综合防灾减灾规划，监督相关行业实施安全生产法律法规、规程、标准。</w:t>
      </w:r>
    </w:p>
    <w:p>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3.负责应急预案体系建设，建立完善事故灾难和自然灾害分级应对制度，组织编制全县总体应急预案和安全生产类、自然灾害类专项预案，综合协调应急预案衔接工作，组织开展预案演练，推动应急避难设施建设。</w:t>
      </w:r>
    </w:p>
    <w:p>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4.牵头建立全县统一的应急管理信息系统，负责信息传输渠道的规划和布局，建立监测预警和灾情报告制度，健全自然灾害信息资源获取和共享机制，依法统一发布灾情。</w:t>
      </w:r>
    </w:p>
    <w:p>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5.组织指导协调安全生产类、自然灾害类等突发事件应急救援，承担县应对重大灾害指挥部工作，综合研判突发事件发展态势并提出应对建议，协助县委、县政府指定的负责同志组织重大灾害应急处置工作。</w:t>
      </w:r>
    </w:p>
    <w:p>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6.统一协调指挥全县各类应急专业队伍，建立应急协调联动机制，推进指挥平台对接；衔接驻巫武警部队、人民武装部参与应急救援工作。</w:t>
      </w:r>
    </w:p>
    <w:p>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7.统筹应急救援力量建设，负责消防、森林和草原火灾扑救、抗洪抢险、地震和地质灾害救援、生产安全事故救援等专业应急救援力量建设，负责县级综合性应急救援队伍业务建设、队伍建设的指导和管理的协调组织，指导乡镇（街道）、工业园区管委会、红池坝景区管委会及社会应急救援力量建设。</w:t>
      </w:r>
    </w:p>
    <w:p>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8.负责消防工作。指导消防监督、火灾预防、火灾扑救等工作。</w:t>
      </w:r>
    </w:p>
    <w:p>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9.指导协调森林和草原火灾、水旱灾害、地震和地质灾害等防治工作，负责自然灾害综合监测预警工作，指导开展自然灾害综合风险评估工作。</w:t>
      </w:r>
    </w:p>
    <w:p>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10.负责协调灾害救助工作，组织指导灾情核查、损失评估、救灾捐赠工作，管理、分配上级下拨及县级救灾款物并监督使用。</w:t>
      </w:r>
    </w:p>
    <w:p>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11.依法行使全县安全生产综合监督管理职权，指导协调、监督检查乡镇（街道）、工业园区管委会、红池坝景区管委会和县政府有关部门安全生产工作，组织开展安全生产巡查、考核工作。承担县安全生产委员会办公室日常工作。</w:t>
      </w:r>
    </w:p>
    <w:p>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12.按照分级、属地原则，依法监督检查非煤矿山和烟花爆竹安全生产监督管理工作，负责工商贸行业监督管理和危险化学品安全监督综合管理工作，依法组织并指导行业部门实施安全生产准入制度。</w:t>
      </w:r>
    </w:p>
    <w:p>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13.负责煤矿执法监督、应急救援管理、统计分析、宣传教育培训等综合性工作，按安全生产法规标准和政策规划组织实施，协助事故调查处理，承担职责范围内煤矿安全生产监管执法职责。</w:t>
      </w:r>
    </w:p>
    <w:p>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14.依法组织开展生产安全事故调查处理，监督事故查处和责任追究落实情况。组织开展自然灾害类突发事件的调查评估工作。</w:t>
      </w:r>
    </w:p>
    <w:p>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15.开展应急管理方面的交流与合作，组织参与安全生产类、自然灾害类等突发事件的跨区域救援工作。</w:t>
      </w:r>
    </w:p>
    <w:p>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16.制定应急物资储备和应急救援装备规划并组织实施，负责提出县级救灾物资的储备需求和动用决策，组织编制县级救灾物资品种目录和标准，会同县级有关部门建立健全应急物资信息平台和调拨制度，在救灾时统一调度，负责县级救灾物资的收储、轮换和日常管理，根据需要下达动用指令。</w:t>
      </w:r>
    </w:p>
    <w:p>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17.负责应急管理、安全生产宣传教育和培训工作，组织指导应急管理、安全生产科学技术的推广应用和信息化建设工作。</w:t>
      </w:r>
    </w:p>
    <w:p>
      <w:pPr>
        <w:pStyle w:val="12"/>
        <w:keepNext w:val="0"/>
        <w:keepLines w:val="0"/>
        <w:pageBreakBefore w:val="0"/>
        <w:widowControl w:val="0"/>
        <w:suppressLineNumbers w:val="0"/>
        <w:kinsoku/>
        <w:wordWrap/>
        <w:topLinePunct w:val="0"/>
        <w:autoSpaceDE w:val="0"/>
        <w:autoSpaceDN/>
        <w:bidi w:val="0"/>
        <w:adjustRightInd/>
        <w:spacing w:before="0" w:beforeAutospacing="0" w:line="600" w:lineRule="exact"/>
        <w:ind w:left="0" w:lef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18.完成县委、县政府交办的其他任务。</w:t>
      </w:r>
    </w:p>
    <w:p>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（二）机构设置</w:t>
      </w:r>
    </w:p>
    <w:p>
      <w:pPr>
        <w:keepNext w:val="0"/>
        <w:keepLines w:val="0"/>
        <w:pageBreakBefore w:val="0"/>
        <w:numPr>
          <w:ilvl w:val="0"/>
          <w:numId w:val="0"/>
        </w:numPr>
        <w:kinsoku/>
        <w:wordWrap/>
        <w:topLinePunct w:val="0"/>
        <w:autoSpaceDN/>
        <w:bidi w:val="0"/>
        <w:adjustRightInd/>
        <w:snapToGrid w:val="0"/>
        <w:spacing w:beforeAutospacing="0" w:line="600" w:lineRule="exact"/>
        <w:ind w:firstLine="640" w:firstLineChars="200"/>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sz w:val="32"/>
          <w:szCs w:val="24"/>
          <w:lang w:eastAsia="zh-CN"/>
          <w14:textFill>
            <w14:solidFill>
              <w14:schemeClr w14:val="tx1"/>
            </w14:solidFill>
          </w14:textFill>
        </w:rPr>
        <w:t>巫溪县应急管理局为政府组成部门，下设</w:t>
      </w:r>
      <w:r>
        <w:rPr>
          <w:rFonts w:hint="default" w:ascii="Times New Roman" w:hAnsi="Times New Roman" w:eastAsia="方正仿宋_GBK" w:cs="Times New Roman"/>
          <w:color w:val="000000" w:themeColor="text1"/>
          <w:sz w:val="32"/>
          <w:szCs w:val="24"/>
          <w:lang w:val="en-US" w:eastAsia="zh-CN"/>
          <w14:textFill>
            <w14:solidFill>
              <w14:schemeClr w14:val="tx1"/>
            </w14:solidFill>
          </w14:textFill>
        </w:rPr>
        <w:t>7个内设机构，下属2个事业单位及1个综合应急救援队。包括</w:t>
      </w:r>
      <w:r>
        <w:rPr>
          <w:rFonts w:hint="default" w:ascii="Times New Roman" w:hAnsi="Times New Roman" w:eastAsia="方正仿宋_GBK" w:cs="Times New Roman"/>
          <w:color w:val="000000" w:themeColor="text1"/>
          <w:sz w:val="32"/>
          <w:szCs w:val="24"/>
          <w:lang w:eastAsia="zh-CN"/>
          <w14:textFill>
            <w14:solidFill>
              <w14:schemeClr w14:val="tx1"/>
            </w14:solidFill>
          </w14:textFill>
        </w:rPr>
        <w:t>巫溪县应急</w:t>
      </w:r>
      <w:r>
        <w:rPr>
          <w:rFonts w:hint="default" w:ascii="Times New Roman" w:hAnsi="Times New Roman" w:eastAsia="方正仿宋_GBK" w:cs="Times New Roman"/>
          <w:color w:val="000000" w:themeColor="text1"/>
          <w:sz w:val="32"/>
          <w:szCs w:val="24"/>
          <w:lang w:val="en-US" w:eastAsia="zh-CN"/>
          <w14:textFill>
            <w14:solidFill>
              <w14:schemeClr w14:val="tx1"/>
            </w14:solidFill>
          </w14:textFill>
        </w:rPr>
        <w:t>管理综合</w:t>
      </w:r>
      <w:r>
        <w:rPr>
          <w:rFonts w:hint="default" w:ascii="Times New Roman" w:hAnsi="Times New Roman" w:eastAsia="方正仿宋_GBK" w:cs="Times New Roman"/>
          <w:color w:val="000000" w:themeColor="text1"/>
          <w:sz w:val="32"/>
          <w:szCs w:val="24"/>
          <w:lang w:eastAsia="zh-CN"/>
          <w14:textFill>
            <w14:solidFill>
              <w14:schemeClr w14:val="tx1"/>
            </w14:solidFill>
          </w14:textFill>
        </w:rPr>
        <w:t>行政执法支队、巫溪县应急救援指挥中心和巫溪县综合应急救援队。</w:t>
      </w:r>
    </w:p>
    <w:p>
      <w:pPr>
        <w:pStyle w:val="16"/>
        <w:keepNext w:val="0"/>
        <w:keepLines w:val="0"/>
        <w:pageBreakBefore w:val="0"/>
        <w:widowControl w:val="0"/>
        <w:suppressLineNumbers w:val="0"/>
        <w:kinsoku/>
        <w:wordWrap/>
        <w:overflowPunct w:val="0"/>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lang w:val="en-US"/>
          <w14:textFill>
            <w14:solidFill>
              <w14:schemeClr w14:val="tx1"/>
            </w14:solidFill>
          </w14:textFill>
        </w:rPr>
      </w:pPr>
      <w:r>
        <w:rPr>
          <w:rFonts w:hint="default" w:ascii="Times New Roman" w:hAnsi="Times New Roman" w:eastAsia="方正仿宋_GBK" w:cs="Times New Roman"/>
          <w:color w:val="000000" w:themeColor="text1"/>
          <w:sz w:val="32"/>
          <w:szCs w:val="24"/>
          <w:lang w:eastAsia="zh-CN"/>
          <w14:textFill>
            <w14:solidFill>
              <w14:schemeClr w14:val="tx1"/>
            </w14:solidFill>
          </w14:textFill>
        </w:rPr>
        <w:t>巫溪县应急管理局现有编制</w:t>
      </w:r>
      <w:r>
        <w:rPr>
          <w:rFonts w:hint="default" w:ascii="Times New Roman" w:hAnsi="Times New Roman" w:eastAsia="方正仿宋_GBK" w:cs="Times New Roman"/>
          <w:color w:val="000000" w:themeColor="text1"/>
          <w:sz w:val="32"/>
          <w:szCs w:val="24"/>
          <w:lang w:val="en-US" w:eastAsia="zh-CN"/>
          <w14:textFill>
            <w14:solidFill>
              <w14:schemeClr w14:val="tx1"/>
            </w14:solidFill>
          </w14:textFill>
        </w:rPr>
        <w:t>55名，购买服务30名。其中事业编制27名、参公编制14名、行政编制14名。现有在岗</w:t>
      </w:r>
      <w:r>
        <w:rPr>
          <w:rFonts w:hint="default" w:ascii="Times New Roman" w:hAnsi="Times New Roman" w:eastAsia="方正仿宋_GBK" w:cs="Times New Roman"/>
          <w:color w:val="000000" w:themeColor="text1"/>
          <w:sz w:val="32"/>
          <w:szCs w:val="24"/>
          <w:lang w:eastAsia="zh-CN"/>
          <w14:textFill>
            <w14:solidFill>
              <w14:schemeClr w14:val="tx1"/>
            </w14:solidFill>
          </w14:textFill>
        </w:rPr>
        <w:t>职工</w:t>
      </w:r>
      <w:r>
        <w:rPr>
          <w:rFonts w:hint="default" w:ascii="Times New Roman" w:hAnsi="Times New Roman" w:eastAsia="方正仿宋_GBK" w:cs="Times New Roman"/>
          <w:color w:val="000000" w:themeColor="text1"/>
          <w:sz w:val="32"/>
          <w:szCs w:val="24"/>
          <w:lang w:val="en-US" w:eastAsia="zh-CN"/>
          <w14:textFill>
            <w14:solidFill>
              <w14:schemeClr w14:val="tx1"/>
            </w14:solidFill>
          </w14:textFill>
        </w:rPr>
        <w:t>83人，其中事业26人，较2022年20人增加6人；主要原因为新招录6人。参公11人较2022年9人增加2人；主要原因为调进1人，新招录1人。行政14人，较2022年15人减少1人；主要原因为退休1人。临聘人员2人，购买服务30人。</w:t>
      </w:r>
    </w:p>
    <w:p>
      <w:pPr>
        <w:pStyle w:val="6"/>
        <w:keepNext w:val="0"/>
        <w:keepLines w:val="0"/>
        <w:pageBreakBefore w:val="0"/>
        <w:shd w:val="clear" w:color="auto" w:fill="FFFFFF"/>
        <w:kinsoku/>
        <w:wordWrap/>
        <w:topLinePunct w:val="0"/>
        <w:autoSpaceDN/>
        <w:bidi w:val="0"/>
        <w:adjustRightInd/>
        <w:spacing w:beforeAutospacing="0" w:line="600" w:lineRule="exact"/>
        <w:textAlignment w:val="auto"/>
        <w:rPr>
          <w:rStyle w:val="10"/>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pPr>
      <w:r>
        <w:rPr>
          <w:rStyle w:val="10"/>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二、</w:t>
      </w:r>
      <w:r>
        <w:rPr>
          <w:rStyle w:val="10"/>
          <w:rFonts w:hint="eastAsia" w:ascii="Times New Roman" w:hAnsi="Times New Roman" w:eastAsia="方正黑体_GBK" w:cs="Times New Roman"/>
          <w:b w:val="0"/>
          <w:bCs/>
          <w:color w:val="000000" w:themeColor="text1"/>
          <w:sz w:val="32"/>
          <w:szCs w:val="32"/>
          <w:shd w:val="clear" w:color="auto" w:fill="FFFFFF"/>
          <w:lang w:val="en-US" w:eastAsia="zh-CN"/>
          <w14:textFill>
            <w14:solidFill>
              <w14:schemeClr w14:val="tx1"/>
            </w14:solidFill>
          </w14:textFill>
        </w:rPr>
        <w:t>部门</w:t>
      </w:r>
      <w:r>
        <w:rPr>
          <w:rStyle w:val="10"/>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决算情况说明</w:t>
      </w:r>
    </w:p>
    <w:p>
      <w:pPr>
        <w:keepNext w:val="0"/>
        <w:keepLines w:val="0"/>
        <w:pageBreakBefore w:val="0"/>
        <w:widowControl w:val="0"/>
        <w:suppressLineNumbers w:val="0"/>
        <w:kinsoku/>
        <w:wordWrap/>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（一）收入支出决算总体情况说明。</w:t>
      </w:r>
    </w:p>
    <w:p>
      <w:pPr>
        <w:pStyle w:val="6"/>
        <w:keepNext w:val="0"/>
        <w:keepLines w:val="0"/>
        <w:pageBreakBefore w:val="0"/>
        <w:shd w:val="clear" w:color="auto" w:fill="FFFFFF"/>
        <w:kinsoku/>
        <w:wordWrap/>
        <w:topLinePunct w:val="0"/>
        <w:autoSpaceDN/>
        <w:bidi w:val="0"/>
        <w:adjustRightInd/>
        <w:spacing w:beforeAutospacing="0"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1.总体情况。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2023年度收入总计1588.89万元，支出总计</w:t>
      </w:r>
      <w:r>
        <w:rPr>
          <w:rFonts w:hint="default" w:ascii="Times New Roman" w:hAnsi="Times New Roman" w:eastAsia="方正仿宋_GBK" w:cs="Times New Roman"/>
          <w:color w:val="000000" w:themeColor="text1"/>
          <w:sz w:val="32"/>
          <w:szCs w:val="32"/>
          <w14:textFill>
            <w14:solidFill>
              <w14:schemeClr w14:val="tx1"/>
            </w14:solidFill>
          </w14:textFill>
        </w:rPr>
        <w:t>1588.89</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万元。收支较上年决算数减少427.44万元，下降21.2%，主要原因是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由于2023年社会保障和就业支出增加19.76万元，卫生健康支出减少98.59万元，节能环保支出减少84.96万元，城乡社区支出减少76.96万元，住房保障支出增加15.79万元，灾害防治及应急管理支出减少202.49万元。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0"/>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2.收入情况。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2023年度收入合计1588.89万元，较上年决算数减少298.71万元，下降15.8%，主要原因是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由于卫生健康收入减少98.59万元，灾害防治及应急管理收入减少150.73万元，其他收入减少49.39万元。</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其中：财政拨款收入</w:t>
      </w:r>
      <w:r>
        <w:rPr>
          <w:rFonts w:hint="default" w:ascii="Times New Roman" w:hAnsi="Times New Roman" w:eastAsia="方正仿宋_GBK" w:cs="Times New Roman"/>
          <w:color w:val="000000" w:themeColor="text1"/>
          <w:sz w:val="32"/>
          <w:szCs w:val="32"/>
          <w14:textFill>
            <w14:solidFill>
              <w14:schemeClr w14:val="tx1"/>
            </w14:solidFill>
          </w14:textFill>
        </w:rPr>
        <w:t>1588.89</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sz w:val="32"/>
          <w:szCs w:val="32"/>
          <w14:textFill>
            <w14:solidFill>
              <w14:schemeClr w14:val="tx1"/>
            </w14:solidFill>
          </w14:textFill>
        </w:rPr>
        <w:t>100.0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%；事业收入</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万元，占0.0%；经营收入</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万元，占0.0%；其他收入</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万元，占0.0%。此外，使用非财政拨款结余和专用结余</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万元，年初结转和结余</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line="60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0"/>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3.支出情况。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2023年度支出合计</w:t>
      </w:r>
      <w:r>
        <w:rPr>
          <w:rFonts w:hint="default" w:ascii="Times New Roman" w:hAnsi="Times New Roman" w:eastAsia="方正仿宋_GBK" w:cs="Times New Roman"/>
          <w:color w:val="000000" w:themeColor="text1"/>
          <w:sz w:val="32"/>
          <w:szCs w:val="32"/>
          <w14:textFill>
            <w14:solidFill>
              <w14:schemeClr w14:val="tx1"/>
            </w14:solidFill>
          </w14:textFill>
        </w:rPr>
        <w:t>1588.89</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万元，较上年决算数减少427.44万元，下降21.2%，</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主要原因是由于2023年社会保障和就业支出增加19.76万元，卫生健康支出减少98.59万元，节能环保支出减少84.96万元，城乡社区支出减少76.96万元，住房保障支出增加15.79万元，灾害防治及应急管理支出减少202.49万元。</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其中：基本支出</w:t>
      </w:r>
      <w:r>
        <w:rPr>
          <w:rFonts w:hint="default" w:ascii="Times New Roman" w:hAnsi="Times New Roman" w:eastAsia="方正仿宋_GBK" w:cs="Times New Roman"/>
          <w:color w:val="000000" w:themeColor="text1"/>
          <w:sz w:val="32"/>
          <w:szCs w:val="32"/>
          <w14:textFill>
            <w14:solidFill>
              <w14:schemeClr w14:val="tx1"/>
            </w14:solidFill>
          </w14:textFill>
        </w:rPr>
        <w:t>1094.47</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万元，占68.</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%；项目支出</w:t>
      </w:r>
      <w:r>
        <w:rPr>
          <w:rFonts w:hint="default" w:ascii="Times New Roman" w:hAnsi="Times New Roman" w:eastAsia="方正仿宋_GBK" w:cs="Times New Roman"/>
          <w:color w:val="000000" w:themeColor="text1"/>
          <w:sz w:val="32"/>
          <w:szCs w:val="32"/>
          <w14:textFill>
            <w14:solidFill>
              <w14:schemeClr w14:val="tx1"/>
            </w14:solidFill>
          </w14:textFill>
        </w:rPr>
        <w:t>494.42</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万元，占31.1%；经营支出</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万元，占0.0%。此外，结余分配</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p>
    <w:p>
      <w:pPr>
        <w:pStyle w:val="12"/>
        <w:keepNext w:val="0"/>
        <w:keepLines w:val="0"/>
        <w:pageBreakBefore w:val="0"/>
        <w:widowControl w:val="0"/>
        <w:suppressLineNumbers w:val="0"/>
        <w:kinsoku/>
        <w:wordWrap/>
        <w:overflowPunct/>
        <w:topLinePunct/>
        <w:autoSpaceDE w:val="0"/>
        <w:autoSpaceDN/>
        <w:bidi w:val="0"/>
        <w:adjustRightInd/>
        <w:spacing w:before="0" w:beforeAutospacing="0" w:line="60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themeColor="text1"/>
          <w:kern w:val="0"/>
          <w:sz w:val="32"/>
          <w:szCs w:val="32"/>
          <w:shd w:val="clear" w:fill="FFFFFF"/>
          <w14:textFill>
            <w14:solidFill>
              <w14:schemeClr w14:val="tx1"/>
            </w14:solidFill>
          </w14:textFill>
        </w:rPr>
      </w:pPr>
      <w:r>
        <w:rPr>
          <w:rStyle w:val="10"/>
          <w:rFonts w:hint="default" w:ascii="Times New Roman" w:hAnsi="Times New Roman" w:eastAsia="方正仿宋_GBK" w:cs="Times New Roman"/>
          <w:b w:val="0"/>
          <w:bCs/>
          <w:color w:val="000000" w:themeColor="text1"/>
          <w:sz w:val="32"/>
          <w:szCs w:val="32"/>
          <w:shd w:val="clear" w:color="auto" w:fill="FFFFFF"/>
          <w:lang w:val="en-US" w:eastAsia="zh-CN" w:bidi="ar-SA"/>
          <w14:textFill>
            <w14:solidFill>
              <w14:schemeClr w14:val="tx1"/>
            </w14:solidFill>
          </w14:textFill>
        </w:rPr>
        <w:t>4.结转结余情况。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2023年度年末结转和结余</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万元，较上年决算数无增减，主要原因是</w:t>
      </w:r>
      <w:r>
        <w:rPr>
          <w:rStyle w:val="17"/>
          <w:rFonts w:hint="default" w:ascii="Times New Roman" w:hAnsi="Times New Roman" w:eastAsia="方正仿宋_GBK" w:cs="Times New Roman"/>
          <w:b w:val="0"/>
          <w:bCs w:val="0"/>
          <w:color w:val="000000" w:themeColor="text1"/>
          <w:sz w:val="32"/>
          <w:szCs w:val="32"/>
          <w:shd w:val="clear" w:fill="FFFFFF"/>
          <w14:textFill>
            <w14:solidFill>
              <w14:schemeClr w14:val="tx1"/>
            </w14:solidFill>
          </w14:textFill>
        </w:rPr>
        <w:t>实行零结转</w:t>
      </w:r>
      <w:r>
        <w:rPr>
          <w:rStyle w:val="17"/>
          <w:rFonts w:hint="default" w:ascii="Times New Roman" w:hAnsi="Times New Roman" w:eastAsia="方正仿宋_GBK" w:cs="Times New Roman"/>
          <w:b w:val="0"/>
          <w:bCs w:val="0"/>
          <w:color w:val="000000" w:themeColor="text1"/>
          <w:sz w:val="32"/>
          <w:szCs w:val="32"/>
          <w:shd w:val="clear" w:fill="FFFFFF"/>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本</w:t>
      </w:r>
      <w:r>
        <w:rPr>
          <w:rFonts w:hint="eastAsia"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t>部门</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无结转资金</w:t>
      </w:r>
      <w:r>
        <w:rPr>
          <w:rStyle w:val="17"/>
          <w:rFonts w:hint="default" w:ascii="Times New Roman" w:hAnsi="Times New Roman" w:eastAsia="方正仿宋_GBK" w:cs="Times New Roman"/>
          <w:b w:val="0"/>
          <w:bCs w:val="0"/>
          <w:color w:val="000000" w:themeColor="text1"/>
          <w:sz w:val="32"/>
          <w:szCs w:val="32"/>
          <w:shd w:val="clear" w:fill="FFFFFF"/>
          <w14:textFill>
            <w14:solidFill>
              <w14:schemeClr w14:val="tx1"/>
            </w14:solidFill>
          </w14:textFill>
        </w:rPr>
        <w:t>。</w:t>
      </w:r>
    </w:p>
    <w:p>
      <w:pPr>
        <w:keepNext w:val="0"/>
        <w:keepLines w:val="0"/>
        <w:pageBreakBefore w:val="0"/>
        <w:widowControl w:val="0"/>
        <w:suppressLineNumbers w:val="0"/>
        <w:kinsoku/>
        <w:wordWrap/>
        <w:overflowPunct/>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（二）财政拨款收入支出决算总体情况说明</w:t>
      </w:r>
    </w:p>
    <w:p>
      <w:pPr>
        <w:pStyle w:val="6"/>
        <w:keepNext w:val="0"/>
        <w:keepLines w:val="0"/>
        <w:pageBreakBefore w:val="0"/>
        <w:kinsoku/>
        <w:wordWrap/>
        <w:overflowPunct/>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2023年度财政拨款收、支总计1588.89万元。与2022年相比，财政拨款收、支总计各减少427.44万元，下降21.2%。</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主要原因是由于2023年社会保障和就业支出增加19.76万元，卫生健康支出减少98.59万元，节能环保支出减少84.96万元，城乡社区支出减少76.96万元，住房保障支出增加15.79万元，灾害防治及应急管理支出减少202.49万元。</w:t>
      </w:r>
    </w:p>
    <w:p>
      <w:pPr>
        <w:pStyle w:val="11"/>
        <w:keepNext w:val="0"/>
        <w:keepLines w:val="0"/>
        <w:pageBreakBefore w:val="0"/>
        <w:kinsoku/>
        <w:wordWrap/>
        <w:overflowPunct/>
        <w:autoSpaceDE w:val="0"/>
        <w:autoSpaceDN/>
        <w:bidi w:val="0"/>
        <w:adjustRightInd/>
        <w:spacing w:beforeAutospacing="0" w:line="600" w:lineRule="exact"/>
        <w:ind w:firstLine="643"/>
        <w:textAlignment w:val="auto"/>
        <w:rPr>
          <w:rFonts w:hint="default" w:ascii="Times New Roman" w:hAnsi="Times New Roman" w:eastAsia="楷体" w:cs="Times New Roman"/>
          <w:b/>
          <w:bCs/>
          <w:color w:val="000000" w:themeColor="text1"/>
          <w:sz w:val="32"/>
          <w:szCs w:val="32"/>
          <w:shd w:val="clear" w:color="auto" w:fill="FFFFFF"/>
          <w14:textFill>
            <w14:solidFill>
              <w14:schemeClr w14:val="tx1"/>
            </w14:solidFill>
          </w14:textFill>
        </w:rPr>
      </w:pPr>
      <w:r>
        <w:rPr>
          <w:rFonts w:hint="default" w:ascii="Times New Roman" w:hAnsi="Times New Roman" w:eastAsia="方正楷体_GBK" w:cs="Times New Roman"/>
          <w:color w:val="000000" w:themeColor="text1"/>
          <w:kern w:val="0"/>
          <w:sz w:val="32"/>
          <w:szCs w:val="32"/>
          <w:lang w:val="en-US" w:eastAsia="zh-CN" w:bidi="ar-SA"/>
          <w14:textFill>
            <w14:solidFill>
              <w14:schemeClr w14:val="tx1"/>
            </w14:solidFill>
          </w14:textFill>
        </w:rPr>
        <w:t>（三）一般公共预算财政拨款收入支出决算情况说明</w:t>
      </w:r>
    </w:p>
    <w:p>
      <w:pPr>
        <w:pStyle w:val="6"/>
        <w:keepNext w:val="0"/>
        <w:keepLines w:val="0"/>
        <w:pageBreakBefore w:val="0"/>
        <w:kinsoku/>
        <w:wordWrap/>
        <w:overflowPunct/>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1.收入情况。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2023年度一般公共预算财政拨款收入</w:t>
      </w:r>
      <w:r>
        <w:rPr>
          <w:rFonts w:hint="default" w:ascii="Times New Roman" w:hAnsi="Times New Roman" w:eastAsia="方正仿宋_GBK" w:cs="Times New Roman"/>
          <w:color w:val="000000" w:themeColor="text1"/>
          <w:sz w:val="32"/>
          <w:szCs w:val="32"/>
          <w14:textFill>
            <w14:solidFill>
              <w14:schemeClr w14:val="tx1"/>
            </w14:solidFill>
          </w14:textFill>
        </w:rPr>
        <w:t>1588.89</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万元，较上年决算数减少298.71万元，下降15.8%。主要原因是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由于卫生健康收入减少98.59万元，灾害防治及应急管理收入减少150.73万元，其他收入减少49.39万元。</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较年初预算数增加54.47万元，增长3.</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新进7名人员，相关费用增加</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。此外，年初财政拨款结转和结余</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p>
    <w:p>
      <w:pPr>
        <w:pStyle w:val="6"/>
        <w:keepNext w:val="0"/>
        <w:keepLines w:val="0"/>
        <w:pageBreakBefore w:val="0"/>
        <w:shd w:val="clear" w:color="auto" w:fill="FFFFFF"/>
        <w:kinsoku/>
        <w:wordWrap/>
        <w:overflowPunct/>
        <w:autoSpaceDN/>
        <w:bidi w:val="0"/>
        <w:adjustRightInd/>
        <w:spacing w:beforeAutospacing="0" w:line="60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2.支出情况。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2023年度一般公共预算财政拨款支出</w:t>
      </w:r>
      <w:r>
        <w:rPr>
          <w:rFonts w:hint="default" w:ascii="Times New Roman" w:hAnsi="Times New Roman" w:eastAsia="方正仿宋_GBK" w:cs="Times New Roman"/>
          <w:color w:val="000000" w:themeColor="text1"/>
          <w:sz w:val="32"/>
          <w:szCs w:val="32"/>
          <w14:textFill>
            <w14:solidFill>
              <w14:schemeClr w14:val="tx1"/>
            </w14:solidFill>
          </w14:textFill>
        </w:rPr>
        <w:t>1588.89</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万元，较上年决算数减少350.48万元，下降18.</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由于2023年社会保障和就业支出增加19.76万元，卫生健康支出减少98.59万元，节能环保支出减少84.96万元，住房保障支出增加15.79万元，灾害防治及应急管理支出减少202.49万元。</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较年初预算数增加54.47万元，增长3.</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新进7名人员，相关费用增加</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12"/>
        <w:keepNext w:val="0"/>
        <w:keepLines w:val="0"/>
        <w:pageBreakBefore w:val="0"/>
        <w:widowControl w:val="0"/>
        <w:suppressLineNumbers w:val="0"/>
        <w:kinsoku/>
        <w:wordWrap/>
        <w:overflowPunct/>
        <w:autoSpaceDE w:val="0"/>
        <w:autoSpaceDN/>
        <w:bidi w:val="0"/>
        <w:adjustRightInd/>
        <w:spacing w:before="0" w:beforeAutospacing="0"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3.结转结余情况。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2023年度年末一般公共预算财政拨款结转和结余</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万元，较上年决算数无增减，主要原因是</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202</w:t>
      </w:r>
      <w:r>
        <w:rPr>
          <w:rFonts w:hint="default"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年实行零结转，本</w:t>
      </w:r>
      <w:r>
        <w:rPr>
          <w:rFonts w:hint="eastAsia"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t>部门</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无结转资金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6"/>
        <w:keepNext w:val="0"/>
        <w:keepLines w:val="0"/>
        <w:pageBreakBefore w:val="0"/>
        <w:kinsoku/>
        <w:wordWrap/>
        <w:overflowPunct/>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0"/>
          <w:rFonts w:hint="default" w:ascii="Times New Roman" w:hAnsi="Times New Roman" w:eastAsia="方正仿宋_GBK" w:cs="Times New Roman"/>
          <w:b w:val="0"/>
          <w:bCs/>
          <w:color w:val="000000" w:themeColor="text1"/>
          <w:sz w:val="32"/>
          <w:szCs w:val="32"/>
          <w:shd w:val="clear" w:color="auto" w:fill="FFFFFF"/>
          <w14:textFill>
            <w14:solidFill>
              <w14:schemeClr w14:val="tx1"/>
            </w14:solidFill>
          </w14:textFill>
        </w:rPr>
        <w:t>4.比较情况。</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部门</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2023年度一般公共预算财政拨款支出主要用于以下几个方面：</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）社会保障与就业支出</w:t>
      </w:r>
      <w:r>
        <w:rPr>
          <w:rFonts w:hint="default" w:ascii="Times New Roman" w:hAnsi="Times New Roman" w:eastAsia="方正仿宋_GBK" w:cs="Times New Roman"/>
          <w:color w:val="000000" w:themeColor="text1"/>
          <w:sz w:val="32"/>
          <w:szCs w:val="32"/>
          <w14:textFill>
            <w14:solidFill>
              <w14:schemeClr w14:val="tx1"/>
            </w14:solidFill>
          </w14:textFill>
        </w:rPr>
        <w:t>152.55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sz w:val="32"/>
          <w:szCs w:val="32"/>
          <w14:textFill>
            <w14:solidFill>
              <w14:schemeClr w14:val="tx1"/>
            </w14:solidFill>
          </w14:textFill>
        </w:rPr>
        <w:t>9.6</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%，较年初预算数增加16.57万元，增长12.</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新进7名人员，相关费用增加</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）卫生健康支出</w:t>
      </w:r>
      <w:r>
        <w:rPr>
          <w:rFonts w:hint="default" w:ascii="Times New Roman" w:hAnsi="Times New Roman" w:eastAsia="方正仿宋_GBK" w:cs="Times New Roman"/>
          <w:color w:val="000000" w:themeColor="text1"/>
          <w:sz w:val="32"/>
          <w:szCs w:val="32"/>
          <w14:textFill>
            <w14:solidFill>
              <w14:schemeClr w14:val="tx1"/>
            </w14:solidFill>
          </w14:textFill>
        </w:rPr>
        <w:t>38.59</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sz w:val="32"/>
          <w:szCs w:val="32"/>
          <w14:textFill>
            <w14:solidFill>
              <w14:schemeClr w14:val="tx1"/>
            </w14:solidFill>
          </w14:textFill>
        </w:rPr>
        <w:t>2.4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%，较年初预算数无增减</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与上年持平</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highlight w:val="none"/>
          <w:shd w:val="clear" w:color="auto" w:fill="FFFFFF"/>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）节能环保支出</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45.3</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2.</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highlight w:val="none"/>
          <w:shd w:val="clear" w:color="auto" w:fill="FFFFFF"/>
          <w14:textFill>
            <w14:solidFill>
              <w14:schemeClr w14:val="tx1"/>
            </w14:solidFill>
          </w14:textFill>
        </w:rPr>
        <w:t>%，较年初预算数增加45.3万元，增长100.0%，主要原因是</w:t>
      </w:r>
      <w:r>
        <w:rPr>
          <w:rFonts w:hint="default" w:ascii="Times New Roman" w:hAnsi="Times New Roman" w:eastAsia="方正仿宋_GBK" w:cs="Times New Roman"/>
          <w:color w:val="000000" w:themeColor="text1"/>
          <w:kern w:val="0"/>
          <w:sz w:val="32"/>
          <w:szCs w:val="32"/>
          <w:highlight w:val="none"/>
          <w:shd w:val="clear" w:fill="FFFFFF"/>
          <w14:textFill>
            <w14:solidFill>
              <w14:schemeClr w14:val="tx1"/>
            </w14:solidFill>
          </w14:textFill>
        </w:rPr>
        <w:t>追加</w:t>
      </w:r>
      <w:r>
        <w:rPr>
          <w:rFonts w:hint="default" w:ascii="Times New Roman" w:hAnsi="Times New Roman" w:eastAsia="方正仿宋_GBK" w:cs="Times New Roman"/>
          <w:color w:val="000000" w:themeColor="text1"/>
          <w:kern w:val="0"/>
          <w:sz w:val="32"/>
          <w:szCs w:val="32"/>
          <w:highlight w:val="none"/>
          <w:shd w:val="clear" w:fill="FFFFFF"/>
          <w:lang w:val="en-US" w:eastAsia="zh-CN"/>
          <w14:textFill>
            <w14:solidFill>
              <w14:schemeClr w14:val="tx1"/>
            </w14:solidFill>
          </w14:textFill>
        </w:rPr>
        <w:t>双安煤矿奖补</w:t>
      </w:r>
      <w:r>
        <w:rPr>
          <w:rFonts w:hint="default" w:ascii="Times New Roman" w:hAnsi="Times New Roman" w:eastAsia="方正仿宋_GBK" w:cs="Times New Roman"/>
          <w:color w:val="000000" w:themeColor="text1"/>
          <w:kern w:val="0"/>
          <w:sz w:val="32"/>
          <w:szCs w:val="32"/>
          <w:highlight w:val="none"/>
          <w:shd w:val="clear" w:fill="FFFFFF"/>
          <w14:textFill>
            <w14:solidFill>
              <w14:schemeClr w14:val="tx1"/>
            </w14:solidFill>
          </w14:textFill>
        </w:rPr>
        <w:t>资金预算。</w:t>
      </w:r>
    </w:p>
    <w:p>
      <w:pPr>
        <w:keepNext w:val="0"/>
        <w:keepLines w:val="0"/>
        <w:pageBreakBefore w:val="0"/>
        <w:kinsoku/>
        <w:wordWrap/>
        <w:overflowPunct/>
        <w:topLinePunct w:val="0"/>
        <w:autoSpaceDN/>
        <w:bidi w:val="0"/>
        <w:adjustRightInd/>
        <w:spacing w:beforeAutospacing="0" w:line="60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住房保障支出62.76</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4.0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%，较年初预算数无增减</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与上年持平</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p>
    <w:p>
      <w:pPr>
        <w:keepNext w:val="0"/>
        <w:keepLines w:val="0"/>
        <w:pageBreakBefore w:val="0"/>
        <w:kinsoku/>
        <w:wordWrap/>
        <w:overflowPunct/>
        <w:topLinePunct w:val="0"/>
        <w:autoSpaceDN/>
        <w:bidi w:val="0"/>
        <w:adjustRightInd/>
        <w:spacing w:beforeAutospacing="0" w:line="60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灾害防治及应急管理支出1289.68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w:t>
      </w:r>
      <w:r>
        <w:rPr>
          <w:rFonts w:hint="default" w:ascii="Times New Roman" w:hAnsi="Times New Roman" w:eastAsia="方正仿宋_GBK" w:cs="Times New Roman"/>
          <w:color w:val="000000" w:themeColor="text1"/>
          <w:sz w:val="32"/>
          <w:szCs w:val="32"/>
          <w14:textFill>
            <w14:solidFill>
              <w14:schemeClr w14:val="tx1"/>
            </w14:solidFill>
          </w14:textFill>
        </w:rPr>
        <w:t>81.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%，较年初预算数减少7.42万元，下降0.</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响应“过紧日子”政策减少部分其他应急管理支出。</w:t>
      </w:r>
    </w:p>
    <w:p>
      <w:pPr>
        <w:keepNext w:val="0"/>
        <w:keepLines w:val="0"/>
        <w:pageBreakBefore w:val="0"/>
        <w:widowControl w:val="0"/>
        <w:suppressLineNumbers w:val="0"/>
        <w:kinsoku/>
        <w:wordWrap/>
        <w:overflowPunct/>
        <w:topLinePunct w:val="0"/>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（四）一般公共预算财政拨款基本支出决算情况说明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2023年度一般公共财政拨款基本支出</w:t>
      </w:r>
      <w:r>
        <w:rPr>
          <w:rFonts w:hint="default" w:ascii="Times New Roman" w:hAnsi="Times New Roman" w:eastAsia="方正仿宋_GBK" w:cs="Times New Roman"/>
          <w:color w:val="000000" w:themeColor="text1"/>
          <w:sz w:val="32"/>
          <w:szCs w:val="32"/>
          <w14:textFill>
            <w14:solidFill>
              <w14:schemeClr w14:val="tx1"/>
            </w14:solidFill>
          </w14:textFill>
        </w:rPr>
        <w:t>1094.47</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万元。其中：人员经费</w:t>
      </w:r>
      <w:r>
        <w:rPr>
          <w:rFonts w:hint="default" w:ascii="Times New Roman" w:hAnsi="Times New Roman" w:eastAsia="方正仿宋_GBK" w:cs="Times New Roman"/>
          <w:color w:val="000000" w:themeColor="text1"/>
          <w:sz w:val="32"/>
          <w:szCs w:val="32"/>
          <w14:textFill>
            <w14:solidFill>
              <w14:schemeClr w14:val="tx1"/>
            </w14:solidFill>
          </w14:textFill>
        </w:rPr>
        <w:t>948.29</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万元，较上年决算数增加68.17万元，增长7.</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新进7名人员，相关费用增加</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。人员经费用途主要包括</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基本工资、津贴补贴、奖金、社会保障缴费等</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。公用经费</w:t>
      </w:r>
      <w:r>
        <w:rPr>
          <w:rFonts w:hint="default" w:ascii="Times New Roman" w:hAnsi="Times New Roman" w:eastAsia="方正仿宋_GBK" w:cs="Times New Roman"/>
          <w:color w:val="000000" w:themeColor="text1"/>
          <w:sz w:val="32"/>
          <w:szCs w:val="32"/>
          <w14:textFill>
            <w14:solidFill>
              <w14:schemeClr w14:val="tx1"/>
            </w14:solidFill>
          </w14:textFill>
        </w:rPr>
        <w:t>146.18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万元，较上年决算数减少199.1万元，下降57.</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一方面</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2023年</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认真贯彻落实中央八项规定精神</w:t>
      </w:r>
      <w:r>
        <w:rPr>
          <w:rFonts w:hint="default" w:ascii="Times New Roman" w:hAnsi="Times New Roman" w:eastAsia="方正仿宋_GBK" w:cs="Times New Roman"/>
          <w:color w:val="000000" w:themeColor="text1"/>
          <w:kern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积极响应“过紧日子”政策，压缩减少部分支出</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另一方面是2022年决算时部分项目支出纳入了机关运行费用，2023年按预算项目分类纳入了项目支出，2023年机关运行经费减少。</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公用经费用途主要包括</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办公费、印刷费、电费、水费、邮电费、差旅费、公务接待费、会议费、维护费、公务用车和其他交通费用。</w:t>
      </w:r>
    </w:p>
    <w:p>
      <w:pPr>
        <w:keepNext w:val="0"/>
        <w:keepLines w:val="0"/>
        <w:pageBreakBefore w:val="0"/>
        <w:widowControl w:val="0"/>
        <w:suppressLineNumbers w:val="0"/>
        <w:kinsoku/>
        <w:wordWrap/>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（五）政府性基金预算收支决算情况说明</w:t>
      </w:r>
    </w:p>
    <w:p>
      <w:pPr>
        <w:pStyle w:val="6"/>
        <w:keepNext w:val="0"/>
        <w:keepLines w:val="0"/>
        <w:pageBreakBefore w:val="0"/>
        <w:kinsoku/>
        <w:wordWrap/>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lang w:val="en-US" w:eastAsia="zh-CN" w:bidi="ar-SA"/>
          <w14:textFill>
            <w14:solidFill>
              <w14:schemeClr w14:val="tx1"/>
            </w14:solidFill>
          </w14:textFill>
        </w:rPr>
        <w:t>本</w:t>
      </w:r>
      <w:r>
        <w:rPr>
          <w:rFonts w:hint="eastAsia" w:ascii="Times New Roman" w:hAnsi="Times New Roman" w:eastAsia="方正仿宋_GBK" w:cs="Times New Roman"/>
          <w:color w:val="000000" w:themeColor="text1"/>
          <w:kern w:val="0"/>
          <w:sz w:val="32"/>
          <w:szCs w:val="32"/>
          <w:shd w:val="clear" w:fill="FFFFFF"/>
          <w:lang w:val="en-US" w:eastAsia="zh-CN" w:bidi="ar-SA"/>
          <w14:textFill>
            <w14:solidFill>
              <w14:schemeClr w14:val="tx1"/>
            </w14:solidFill>
          </w14:textFill>
        </w:rPr>
        <w:t>部门</w:t>
      </w:r>
      <w:r>
        <w:rPr>
          <w:rFonts w:hint="default" w:ascii="Times New Roman" w:hAnsi="Times New Roman" w:eastAsia="方正仿宋_GBK" w:cs="Times New Roman"/>
          <w:color w:val="000000" w:themeColor="text1"/>
          <w:kern w:val="0"/>
          <w:sz w:val="32"/>
          <w:szCs w:val="32"/>
          <w:shd w:val="clear" w:fill="FFFFFF"/>
          <w:lang w:val="en-US" w:eastAsia="zh-CN" w:bidi="ar-SA"/>
          <w14:textFill>
            <w14:solidFill>
              <w14:schemeClr w14:val="tx1"/>
            </w14:solidFill>
          </w14:textFill>
        </w:rPr>
        <w:t>2023年度无政府性基金预算财政拨款收支。</w:t>
      </w:r>
    </w:p>
    <w:p>
      <w:pPr>
        <w:keepNext w:val="0"/>
        <w:keepLines w:val="0"/>
        <w:pageBreakBefore w:val="0"/>
        <w:widowControl w:val="0"/>
        <w:suppressLineNumbers w:val="0"/>
        <w:kinsoku/>
        <w:wordWrap/>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（六）国有资本经营预算财政拨款支出决算情况说明</w:t>
      </w:r>
    </w:p>
    <w:p>
      <w:pPr>
        <w:pStyle w:val="6"/>
        <w:keepNext w:val="0"/>
        <w:keepLines w:val="0"/>
        <w:pageBreakBefore w:val="0"/>
        <w:kinsoku/>
        <w:wordWrap/>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lang w:val="en-US" w:eastAsia="zh-CN" w:bidi="ar-SA"/>
          <w14:textFill>
            <w14:solidFill>
              <w14:schemeClr w14:val="tx1"/>
            </w14:solidFill>
          </w14:textFill>
        </w:rPr>
        <w:t>本</w:t>
      </w:r>
      <w:r>
        <w:rPr>
          <w:rFonts w:hint="eastAsia" w:ascii="Times New Roman" w:hAnsi="Times New Roman" w:eastAsia="方正仿宋_GBK" w:cs="Times New Roman"/>
          <w:color w:val="000000" w:themeColor="text1"/>
          <w:kern w:val="0"/>
          <w:sz w:val="32"/>
          <w:szCs w:val="32"/>
          <w:shd w:val="clear" w:fill="FFFFFF"/>
          <w:lang w:val="en-US" w:eastAsia="zh-CN" w:bidi="ar-SA"/>
          <w14:textFill>
            <w14:solidFill>
              <w14:schemeClr w14:val="tx1"/>
            </w14:solidFill>
          </w14:textFill>
        </w:rPr>
        <w:t>部门</w:t>
      </w:r>
      <w:r>
        <w:rPr>
          <w:rFonts w:hint="default" w:ascii="Times New Roman" w:hAnsi="Times New Roman" w:eastAsia="方正仿宋_GBK" w:cs="Times New Roman"/>
          <w:color w:val="000000" w:themeColor="text1"/>
          <w:kern w:val="0"/>
          <w:sz w:val="32"/>
          <w:szCs w:val="32"/>
          <w:shd w:val="clear" w:fill="FFFFFF"/>
          <w:lang w:val="en-US" w:eastAsia="zh-CN" w:bidi="ar-SA"/>
          <w14:textFill>
            <w14:solidFill>
              <w14:schemeClr w14:val="tx1"/>
            </w14:solidFill>
          </w14:textFill>
        </w:rPr>
        <w:t>2023年度无国有资本经营预算财政拨款支出。</w:t>
      </w:r>
    </w:p>
    <w:p>
      <w:pPr>
        <w:pStyle w:val="6"/>
        <w:keepNext w:val="0"/>
        <w:keepLines w:val="0"/>
        <w:pageBreakBefore w:val="0"/>
        <w:shd w:val="clear" w:color="auto" w:fill="FFFFFF"/>
        <w:kinsoku/>
        <w:wordWrap/>
        <w:autoSpaceDN/>
        <w:bidi w:val="0"/>
        <w:adjustRightInd/>
        <w:spacing w:beforeAutospacing="0" w:line="600" w:lineRule="exact"/>
        <w:textAlignment w:val="auto"/>
        <w:rPr>
          <w:rStyle w:val="10"/>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pPr>
      <w:r>
        <w:rPr>
          <w:rStyle w:val="10"/>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三、“三公”经费情况说明</w:t>
      </w:r>
    </w:p>
    <w:p>
      <w:pPr>
        <w:pStyle w:val="11"/>
        <w:keepNext w:val="0"/>
        <w:keepLines w:val="0"/>
        <w:pageBreakBefore w:val="0"/>
        <w:kinsoku/>
        <w:wordWrap/>
        <w:autoSpaceDE w:val="0"/>
        <w:autoSpaceDN/>
        <w:bidi w:val="0"/>
        <w:adjustRightInd/>
        <w:spacing w:beforeAutospacing="0" w:line="600" w:lineRule="exact"/>
        <w:ind w:firstLine="643"/>
        <w:textAlignment w:val="auto"/>
        <w:rPr>
          <w:rFonts w:hint="default" w:ascii="Times New Roman" w:hAnsi="Times New Roman" w:eastAsia="楷体" w:cs="Times New Roman"/>
          <w:b/>
          <w:bCs/>
          <w:color w:val="000000" w:themeColor="text1"/>
          <w:sz w:val="32"/>
          <w:szCs w:val="32"/>
          <w:shd w:val="clear" w:color="auto" w:fill="FFFFFF"/>
          <w14:textFill>
            <w14:solidFill>
              <w14:schemeClr w14:val="tx1"/>
            </w14:solidFill>
          </w14:textFill>
        </w:rPr>
      </w:pPr>
      <w:r>
        <w:rPr>
          <w:rFonts w:hint="default" w:ascii="Times New Roman" w:hAnsi="Times New Roman" w:eastAsia="楷体" w:cs="Times New Roman"/>
          <w:b/>
          <w:bCs/>
          <w:color w:val="000000" w:themeColor="text1"/>
          <w:sz w:val="32"/>
          <w:szCs w:val="32"/>
          <w:shd w:val="clear" w:color="auto" w:fill="FFFFFF"/>
          <w14:textFill>
            <w14:solidFill>
              <w14:schemeClr w14:val="tx1"/>
            </w14:solidFill>
          </w14:textFill>
        </w:rPr>
        <w:t xml:space="preserve"> </w:t>
      </w:r>
      <w:r>
        <w:rPr>
          <w:rFonts w:hint="default" w:ascii="Times New Roman" w:hAnsi="Times New Roman" w:eastAsia="方正楷体_GBK" w:cs="Times New Roman"/>
          <w:color w:val="000000" w:themeColor="text1"/>
          <w:kern w:val="0"/>
          <w:sz w:val="32"/>
          <w:szCs w:val="32"/>
          <w:lang w:val="en-US" w:eastAsia="zh-CN" w:bidi="ar-SA"/>
          <w14:textFill>
            <w14:solidFill>
              <w14:schemeClr w14:val="tx1"/>
            </w14:solidFill>
          </w14:textFill>
        </w:rPr>
        <w:t>（一）“三公”经费支出总体情况说明</w:t>
      </w:r>
    </w:p>
    <w:p>
      <w:pPr>
        <w:pStyle w:val="6"/>
        <w:keepNext w:val="0"/>
        <w:keepLines w:val="0"/>
        <w:pageBreakBefore w:val="0"/>
        <w:kinsoku/>
        <w:wordWrap/>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2023年度“三公”经费支出共计</w:t>
      </w:r>
      <w:r>
        <w:rPr>
          <w:rFonts w:hint="default" w:ascii="Times New Roman" w:hAnsi="Times New Roman" w:eastAsia="方正仿宋_GBK" w:cs="Times New Roman"/>
          <w:color w:val="000000" w:themeColor="text1"/>
          <w:sz w:val="32"/>
          <w:szCs w:val="32"/>
          <w14:textFill>
            <w14:solidFill>
              <w14:schemeClr w14:val="tx1"/>
            </w14:solidFill>
          </w14:textFill>
        </w:rPr>
        <w:t>21.16</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万元，较年初预算数减少0.84万元，下降3.8%，主要原因</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一</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是认真贯彻落实中央八项规定精神，全年实际支出较预算有所下降。二是严格落实公车使用规定、强化公务接待支出管理，严格遵守公务接待开支范围和开支标准，严格控制陪餐人数</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较上年支出数减少0.35万元，下降1.6%，主要原因</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一</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是认真贯彻落实中央八项规定精神，全年实际支出较预算有所下降。二是严格落实公车使用规定、强化公务接待支出管理，严格遵守公务接待开支范围和开支标准，严格控制陪餐人数</w:t>
      </w:r>
      <w:r>
        <w:rPr>
          <w:rFonts w:hint="default" w:ascii="Times New Roman" w:hAnsi="Times New Roman" w:eastAsia="方正仿宋_GBK" w:cs="Times New Roman"/>
          <w:color w:val="000000" w:themeColor="text1"/>
          <w:kern w:val="0"/>
          <w:sz w:val="32"/>
          <w:szCs w:val="32"/>
          <w:shd w:val="clear" w:fill="FFFFFF"/>
          <w:lang w:eastAsia="zh-CN"/>
          <w14:textFill>
            <w14:solidFill>
              <w14:schemeClr w14:val="tx1"/>
            </w14:solidFill>
          </w14:textFill>
        </w:rPr>
        <w:t>。</w:t>
      </w:r>
    </w:p>
    <w:p>
      <w:pPr>
        <w:keepNext w:val="0"/>
        <w:keepLines w:val="0"/>
        <w:pageBreakBefore w:val="0"/>
        <w:widowControl w:val="0"/>
        <w:suppressLineNumbers w:val="0"/>
        <w:kinsoku/>
        <w:wordWrap/>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（二）“三公”经费分项支出情况</w:t>
      </w:r>
    </w:p>
    <w:p>
      <w:pPr>
        <w:pStyle w:val="6"/>
        <w:keepNext w:val="0"/>
        <w:keepLines w:val="0"/>
        <w:pageBreakBefore w:val="0"/>
        <w:kinsoku/>
        <w:wordWrap/>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部门</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因公出国（境）费用</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万元，主要是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由</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于</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本部门202</w:t>
      </w:r>
      <w:r>
        <w:rPr>
          <w:rFonts w:hint="default"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t>3</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年度未发生因公出国（境）费用支出。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p>
    <w:p>
      <w:pPr>
        <w:pStyle w:val="6"/>
        <w:keepNext w:val="0"/>
        <w:keepLines w:val="0"/>
        <w:pageBreakBefore w:val="0"/>
        <w:kinsoku/>
        <w:wordWrap/>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公务车购置费</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万元，主要</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是由</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于</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本部门2023年度未购置公务车。</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p>
    <w:p>
      <w:pPr>
        <w:pStyle w:val="6"/>
        <w:keepNext w:val="0"/>
        <w:keepLines w:val="0"/>
        <w:pageBreakBefore w:val="0"/>
        <w:kinsoku/>
        <w:wordWrap/>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公务车运行维护费</w:t>
      </w:r>
      <w:r>
        <w:rPr>
          <w:rFonts w:hint="default" w:ascii="Times New Roman" w:hAnsi="Times New Roman" w:eastAsia="方正仿宋_GBK" w:cs="Times New Roman"/>
          <w:color w:val="000000" w:themeColor="text1"/>
          <w:sz w:val="32"/>
          <w:szCs w:val="32"/>
          <w14:textFill>
            <w14:solidFill>
              <w14:schemeClr w14:val="tx1"/>
            </w14:solidFill>
          </w14:textFill>
        </w:rPr>
        <w:t>15.37</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万元，主要用</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于机要文件交换、市内因公出行、安全生产督查、自然灾害防治等业务检查以及灾害发生后开展救灾工作所需车辆的燃料费、维修费、过桥过路费、保险费等。</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费用支出较年初预算数减少0.63万元，下降3.9%，主要原因是</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实际工作中严格贯彻中央八项规定精神，从严控制“三公”经费，严格落实公车使用规定</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。较上年支出数减少0.15万元，下降</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实际工作中严格贯彻中央八项规定精神，从严控制“三公”经费，严格落实公车使用规定</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w:t>
      </w:r>
    </w:p>
    <w:p>
      <w:pPr>
        <w:pStyle w:val="6"/>
        <w:keepNext w:val="0"/>
        <w:keepLines w:val="0"/>
        <w:pageBreakBefore w:val="0"/>
        <w:kinsoku/>
        <w:wordWrap/>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公务接待费</w:t>
      </w:r>
      <w:r>
        <w:rPr>
          <w:rFonts w:hint="default" w:ascii="Times New Roman" w:hAnsi="Times New Roman" w:eastAsia="方正仿宋_GBK" w:cs="Times New Roman"/>
          <w:color w:val="000000" w:themeColor="text1"/>
          <w:sz w:val="32"/>
          <w:szCs w:val="32"/>
          <w14:textFill>
            <w14:solidFill>
              <w14:schemeClr w14:val="tx1"/>
            </w14:solidFill>
          </w14:textFill>
        </w:rPr>
        <w:t>5.79</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万元，主要用于</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接待各区县应急局到我</w:t>
      </w:r>
      <w:r>
        <w:rPr>
          <w:rFonts w:hint="eastAsia"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t>部门</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学习调研安全生产监管与自然灾害应急工作，市应急局及其他相关部门检查指导工作发生的接待支出</w:t>
      </w:r>
      <w:r>
        <w:rPr>
          <w:rFonts w:hint="default" w:ascii="Times New Roman" w:hAnsi="Times New Roman" w:eastAsia="方正仿宋_GBK" w:cs="Times New Roman"/>
          <w:color w:val="000000" w:themeColor="text1"/>
          <w:kern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费用支出较年初预算数减少0.21万元，下降3.5%，主要原因是</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实际工作中严格贯彻中央八项规定精神，强化公务接待支出管理，严格遵守公务接待开支范围和开支标准，严格控制陪餐人数</w:t>
      </w:r>
      <w:r>
        <w:rPr>
          <w:rFonts w:hint="default" w:ascii="Times New Roman" w:hAnsi="Times New Roman" w:eastAsia="方正仿宋_GBK" w:cs="Times New Roman"/>
          <w:color w:val="000000" w:themeColor="text1"/>
          <w:kern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较上年支出数减少0.21万元，下降3.5%，主要原因是是</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实际工作中严格贯彻中央八项规定精神，强化公务接待支出管理，严格遵守公务接待开支范围和开支标准，严格控制陪餐人数</w:t>
      </w:r>
      <w:r>
        <w:rPr>
          <w:rFonts w:hint="default" w:ascii="Times New Roman" w:hAnsi="Times New Roman" w:eastAsia="方正仿宋_GBK" w:cs="Times New Roman"/>
          <w:color w:val="000000" w:themeColor="text1"/>
          <w:kern w:val="0"/>
          <w:sz w:val="32"/>
          <w:szCs w:val="32"/>
          <w:shd w:val="clear" w:fill="FFFFFF"/>
          <w:lang w:eastAsia="zh-CN"/>
          <w14:textFill>
            <w14:solidFill>
              <w14:schemeClr w14:val="tx1"/>
            </w14:solidFill>
          </w14:textFill>
        </w:rPr>
        <w:t>。</w:t>
      </w:r>
    </w:p>
    <w:p>
      <w:pPr>
        <w:keepNext w:val="0"/>
        <w:keepLines w:val="0"/>
        <w:pageBreakBefore w:val="0"/>
        <w:widowControl w:val="0"/>
        <w:suppressLineNumbers w:val="0"/>
        <w:kinsoku/>
        <w:wordWrap/>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（三）“三公”经费实物量情况</w:t>
      </w:r>
    </w:p>
    <w:p>
      <w:pPr>
        <w:pStyle w:val="6"/>
        <w:keepNext w:val="0"/>
        <w:keepLines w:val="0"/>
        <w:pageBreakBefore w:val="0"/>
        <w:kinsoku/>
        <w:wordWrap/>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2023年度本</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部门</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因公出国（境）共计</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个团组，</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人；公务用车购置</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辆，公务车保有量为</w:t>
      </w: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辆；国内公务接待</w:t>
      </w:r>
      <w:r>
        <w:rPr>
          <w:rFonts w:hint="default" w:ascii="Times New Roman" w:hAnsi="Times New Roman" w:eastAsia="方正仿宋_GBK" w:cs="Times New Roman"/>
          <w:color w:val="000000" w:themeColor="text1"/>
          <w:sz w:val="32"/>
          <w:szCs w:val="32"/>
          <w14:textFill>
            <w14:solidFill>
              <w14:schemeClr w14:val="tx1"/>
            </w14:solidFill>
          </w14:textFill>
        </w:rPr>
        <w:t>142</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批次</w:t>
      </w:r>
      <w:r>
        <w:rPr>
          <w:rFonts w:hint="default" w:ascii="Times New Roman" w:hAnsi="Times New Roman" w:eastAsia="方正仿宋_GBK" w:cs="Times New Roman"/>
          <w:color w:val="000000" w:themeColor="text1"/>
          <w:sz w:val="32"/>
          <w:szCs w:val="32"/>
          <w14:textFill>
            <w14:solidFill>
              <w14:schemeClr w14:val="tx1"/>
            </w14:solidFill>
          </w14:textFill>
        </w:rPr>
        <w:t>1145</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人，其中：国内外事接待</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批次，</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人；国（境）外公务接待</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批次，</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人。2023年本</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部门</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人均接待费</w:t>
      </w:r>
      <w:r>
        <w:rPr>
          <w:rFonts w:hint="default" w:ascii="Times New Roman" w:hAnsi="Times New Roman" w:eastAsia="方正仿宋_GBK" w:cs="Times New Roman"/>
          <w:color w:val="000000" w:themeColor="text1"/>
          <w:sz w:val="32"/>
          <w:szCs w:val="32"/>
          <w14:textFill>
            <w14:solidFill>
              <w14:schemeClr w14:val="tx1"/>
            </w14:solidFill>
          </w14:textFill>
        </w:rPr>
        <w:t>50.54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元，车均购置费</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万元，车均维护费</w:t>
      </w:r>
      <w:r>
        <w:rPr>
          <w:rFonts w:hint="default" w:ascii="Times New Roman" w:hAnsi="Times New Roman" w:eastAsia="方正仿宋_GBK" w:cs="Times New Roman"/>
          <w:color w:val="000000" w:themeColor="text1"/>
          <w:sz w:val="32"/>
          <w:szCs w:val="32"/>
          <w14:textFill>
            <w14:solidFill>
              <w14:schemeClr w14:val="tx1"/>
            </w14:solidFill>
          </w14:textFill>
        </w:rPr>
        <w:t>3.84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p>
    <w:p>
      <w:pPr>
        <w:pStyle w:val="6"/>
        <w:keepNext w:val="0"/>
        <w:keepLines w:val="0"/>
        <w:pageBreakBefore w:val="0"/>
        <w:shd w:val="clear" w:color="auto" w:fill="FFFFFF"/>
        <w:kinsoku/>
        <w:wordWrap/>
        <w:autoSpaceDN/>
        <w:bidi w:val="0"/>
        <w:adjustRightInd/>
        <w:spacing w:beforeAutospacing="0" w:line="600" w:lineRule="exact"/>
        <w:textAlignment w:val="auto"/>
        <w:rPr>
          <w:rStyle w:val="10"/>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pPr>
      <w:r>
        <w:rPr>
          <w:rStyle w:val="10"/>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四、其他需要说明的事项</w:t>
      </w:r>
    </w:p>
    <w:p>
      <w:pPr>
        <w:keepNext w:val="0"/>
        <w:keepLines w:val="0"/>
        <w:pageBreakBefore w:val="0"/>
        <w:widowControl w:val="0"/>
        <w:suppressLineNumbers w:val="0"/>
        <w:kinsoku/>
        <w:wordWrap/>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（一）财政拨款会议费和培训费情况说明</w:t>
      </w:r>
    </w:p>
    <w:p>
      <w:pPr>
        <w:pStyle w:val="6"/>
        <w:keepNext w:val="0"/>
        <w:keepLines w:val="0"/>
        <w:pageBreakBefore w:val="0"/>
        <w:kinsoku/>
        <w:wordWrap/>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本年度会议费支出</w:t>
      </w:r>
      <w:r>
        <w:rPr>
          <w:rFonts w:hint="default" w:ascii="Times New Roman" w:hAnsi="Times New Roman" w:eastAsia="方正仿宋_GBK" w:cs="Times New Roman"/>
          <w:color w:val="000000" w:themeColor="text1"/>
          <w:sz w:val="32"/>
          <w:szCs w:val="32"/>
          <w14:textFill>
            <w14:solidFill>
              <w14:schemeClr w14:val="tx1"/>
            </w14:solidFill>
          </w14:textFill>
        </w:rPr>
        <w:t>2.47</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万元，较上年决算数减少2.53万元，下降50.6%，主要原因是突发事故</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有所</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减少，相关调度会议减少。本年度培训费支出</w:t>
      </w:r>
      <w:r>
        <w:rPr>
          <w:rFonts w:hint="default" w:ascii="Times New Roman" w:hAnsi="Times New Roman" w:eastAsia="方正仿宋_GBK" w:cs="Times New Roman"/>
          <w:color w:val="000000" w:themeColor="text1"/>
          <w:sz w:val="32"/>
          <w:szCs w:val="32"/>
          <w14:textFill>
            <w14:solidFill>
              <w14:schemeClr w14:val="tx1"/>
            </w14:solidFill>
          </w14:textFill>
        </w:rPr>
        <w:t>0.86</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万元，较上年决算数减少0.03万元，下降3.</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%，主要原因是部分培训项目未开展，相关费用降低。</w:t>
      </w:r>
    </w:p>
    <w:p>
      <w:pPr>
        <w:keepNext w:val="0"/>
        <w:keepLines w:val="0"/>
        <w:pageBreakBefore w:val="0"/>
        <w:widowControl w:val="0"/>
        <w:suppressLineNumbers w:val="0"/>
        <w:kinsoku/>
        <w:wordWrap/>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（二）机关运行经费情况说明</w:t>
      </w:r>
    </w:p>
    <w:p>
      <w:pPr>
        <w:pStyle w:val="6"/>
        <w:keepNext w:val="0"/>
        <w:keepLines w:val="0"/>
        <w:pageBreakBefore w:val="0"/>
        <w:kinsoku/>
        <w:wordWrap/>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2023年度本</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部门</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机关运行经费支出</w:t>
      </w:r>
      <w:r>
        <w:rPr>
          <w:rFonts w:hint="default" w:ascii="Times New Roman" w:hAnsi="Times New Roman" w:eastAsia="方正仿宋_GBK" w:cs="Times New Roman"/>
          <w:color w:val="000000" w:themeColor="text1"/>
          <w:sz w:val="32"/>
          <w:szCs w:val="32"/>
          <w14:textFill>
            <w14:solidFill>
              <w14:schemeClr w14:val="tx1"/>
            </w14:solidFill>
          </w14:textFill>
        </w:rPr>
        <w:t>146.18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万元，机关运行经费主要用于开支</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办公费、印刷费、水电费、会议费、公务车运行维护费、信息网络购置更新费、物业管理费、差旅费、劳务费、会议费等支出</w:t>
      </w:r>
      <w:r>
        <w:rPr>
          <w:rFonts w:hint="default" w:ascii="Times New Roman" w:hAnsi="Times New Roman" w:eastAsia="方正仿宋_GBK" w:cs="Times New Roman"/>
          <w:color w:val="000000" w:themeColor="text1"/>
          <w:kern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机关运行经费较上年支出数减少199.1万元，下降57.</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%，主要原因</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一方面</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是</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2023年</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认真贯彻落实中央八项规定精神</w:t>
      </w:r>
      <w:r>
        <w:rPr>
          <w:rFonts w:hint="default" w:ascii="Times New Roman" w:hAnsi="Times New Roman" w:eastAsia="方正仿宋_GBK" w:cs="Times New Roman"/>
          <w:color w:val="000000" w:themeColor="text1"/>
          <w:kern w:val="0"/>
          <w:sz w:val="32"/>
          <w:szCs w:val="32"/>
          <w:shd w:val="clear"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积极响应“过紧日子”政策，压缩减少部分支出</w:t>
      </w:r>
      <w:r>
        <w:rPr>
          <w:rFonts w:hint="default" w:ascii="Times New Roman" w:hAnsi="Times New Roman" w:eastAsia="方正仿宋_GBK" w:cs="Times New Roman"/>
          <w:color w:val="000000" w:themeColor="text1"/>
          <w:sz w:val="32"/>
          <w:szCs w:val="32"/>
          <w:shd w:val="clear" w:color="auto" w:fill="FFFFFF"/>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另一方面是2022年决算时部分项目支出纳入了机关运行费用，2023年按预算项目分类纳入了项目支出，2023年机关运行经费减少。</w:t>
      </w:r>
    </w:p>
    <w:p>
      <w:pPr>
        <w:keepNext w:val="0"/>
        <w:keepLines w:val="0"/>
        <w:pageBreakBefore w:val="0"/>
        <w:widowControl w:val="0"/>
        <w:suppressLineNumbers w:val="0"/>
        <w:kinsoku/>
        <w:wordWrap/>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（三）国有资产占用情况说明</w:t>
      </w:r>
    </w:p>
    <w:p>
      <w:pPr>
        <w:pStyle w:val="6"/>
        <w:keepNext w:val="0"/>
        <w:keepLines w:val="0"/>
        <w:pageBreakBefore w:val="0"/>
        <w:kinsoku/>
        <w:wordWrap/>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截至2023年12月31日，本</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部门</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共有车辆</w:t>
      </w: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辆，其中，副部（省）级及以上领导用车</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辆、主要负责人用车</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辆、机要通信用车</w:t>
      </w: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辆、应急保障用车</w:t>
      </w: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辆、执法执勤用车</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辆，特种专业技术用车</w:t>
      </w: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辆，离退休干部用车</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辆。单价100万元（含）以上专用设备</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台（套）。</w:t>
      </w:r>
    </w:p>
    <w:p>
      <w:pPr>
        <w:keepNext w:val="0"/>
        <w:keepLines w:val="0"/>
        <w:pageBreakBefore w:val="0"/>
        <w:widowControl w:val="0"/>
        <w:suppressLineNumbers w:val="0"/>
        <w:kinsoku/>
        <w:wordWrap/>
        <w:autoSpaceDE w:val="0"/>
        <w:autoSpaceDN/>
        <w:bidi w:val="0"/>
        <w:adjustRightInd/>
        <w:spacing w:beforeAutospacing="0" w:line="600" w:lineRule="exact"/>
        <w:ind w:left="0" w:leftChars="0" w:right="0" w:rightChars="0" w:firstLine="640" w:firstLineChars="200"/>
        <w:jc w:val="both"/>
        <w:textAlignment w:val="auto"/>
        <w:rPr>
          <w:rFonts w:hint="default" w:ascii="Times New Roman" w:hAnsi="Times New Roman" w:eastAsia="方正楷体_GBK" w:cs="Times New Roman"/>
          <w:color w:val="000000" w:themeColor="text1"/>
          <w:kern w:val="0"/>
          <w:sz w:val="32"/>
          <w:szCs w:val="32"/>
          <w14:textFill>
            <w14:solidFill>
              <w14:schemeClr w14:val="tx1"/>
            </w14:solidFill>
          </w14:textFill>
        </w:rPr>
      </w:pPr>
      <w:r>
        <w:rPr>
          <w:rFonts w:hint="default" w:ascii="Times New Roman" w:hAnsi="Times New Roman" w:eastAsia="方正楷体_GBK" w:cs="Times New Roman"/>
          <w:color w:val="000000" w:themeColor="text1"/>
          <w:kern w:val="0"/>
          <w:sz w:val="32"/>
          <w:szCs w:val="32"/>
          <w14:textFill>
            <w14:solidFill>
              <w14:schemeClr w14:val="tx1"/>
            </w14:solidFill>
          </w14:textFill>
        </w:rPr>
        <w:t>（四）政府采购支出情况说明</w:t>
      </w:r>
    </w:p>
    <w:p>
      <w:pPr>
        <w:pStyle w:val="12"/>
        <w:keepNext w:val="0"/>
        <w:keepLines w:val="0"/>
        <w:pageBreakBefore w:val="0"/>
        <w:widowControl w:val="0"/>
        <w:suppressLineNumbers w:val="0"/>
        <w:kinsoku/>
        <w:wordWrap/>
        <w:autoSpaceDE w:val="0"/>
        <w:autoSpaceDN/>
        <w:bidi w:val="0"/>
        <w:adjustRightInd/>
        <w:spacing w:before="0" w:beforeAutospacing="0" w:line="600" w:lineRule="exact"/>
        <w:ind w:left="0" w:leftChars="0" w:firstLine="640" w:firstLineChars="200"/>
        <w:jc w:val="both"/>
        <w:textAlignment w:val="auto"/>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2023年度本</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部门</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政府采购支出总额</w:t>
      </w:r>
      <w:r>
        <w:rPr>
          <w:rFonts w:hint="default" w:ascii="Times New Roman" w:hAnsi="Times New Roman" w:eastAsia="方正仿宋_GBK" w:cs="Times New Roman"/>
          <w:color w:val="000000" w:themeColor="text1"/>
          <w:sz w:val="32"/>
          <w:szCs w:val="32"/>
          <w14:textFill>
            <w14:solidFill>
              <w14:schemeClr w14:val="tx1"/>
            </w14:solidFill>
          </w14:textFill>
        </w:rPr>
        <w:t>108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万元，其中：政府采购货物支出</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万元、政府采购工程支出</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万元、政府采购服务支出</w:t>
      </w:r>
      <w:r>
        <w:rPr>
          <w:rFonts w:hint="default" w:ascii="Times New Roman" w:hAnsi="Times New Roman" w:eastAsia="方正仿宋_GBK" w:cs="Times New Roman"/>
          <w:color w:val="000000" w:themeColor="text1"/>
          <w:sz w:val="32"/>
          <w:szCs w:val="32"/>
          <w14:textFill>
            <w14:solidFill>
              <w14:schemeClr w14:val="tx1"/>
            </w14:solidFill>
          </w14:textFill>
        </w:rPr>
        <w:t>108</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万元。授予中小企业合同金额</w:t>
      </w:r>
      <w:r>
        <w:rPr>
          <w:rFonts w:hint="default" w:ascii="Times New Roman" w:hAnsi="Times New Roman" w:eastAsia="方正仿宋_GBK" w:cs="Times New Roman"/>
          <w:color w:val="000000" w:themeColor="text1"/>
          <w:sz w:val="32"/>
          <w:szCs w:val="32"/>
          <w14:textFill>
            <w14:solidFill>
              <w14:schemeClr w14:val="tx1"/>
            </w14:solidFill>
          </w14:textFill>
        </w:rPr>
        <w:t>0万</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元，占政府采购支出总额的</w:t>
      </w:r>
      <w:r>
        <w:rPr>
          <w:rFonts w:hint="default" w:ascii="Times New Roman" w:hAnsi="Times New Roman" w:eastAsia="方正仿宋_GBK" w:cs="Times New Roman"/>
          <w:color w:val="000000" w:themeColor="text1"/>
          <w:sz w:val="32"/>
          <w:szCs w:val="32"/>
          <w14:textFill>
            <w14:solidFill>
              <w14:schemeClr w14:val="tx1"/>
            </w14:solidFill>
          </w14:textFill>
        </w:rPr>
        <w:t>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%，其中：授予小微企业合同金额</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万元，占政府采购支出总额的</w:t>
      </w:r>
      <w:r>
        <w:rPr>
          <w:rFonts w:hint="default" w:ascii="Times New Roman" w:hAnsi="Times New Roman" w:eastAsia="方正仿宋_GBK" w:cs="Times New Roman"/>
          <w:color w:val="000000" w:themeColor="text1"/>
          <w:sz w:val="32"/>
          <w:szCs w:val="32"/>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%。主要用于</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购买巨灾保险</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w:t>
      </w:r>
    </w:p>
    <w:p>
      <w:pPr>
        <w:pStyle w:val="6"/>
        <w:keepNext w:val="0"/>
        <w:keepLines w:val="0"/>
        <w:pageBreakBefore w:val="0"/>
        <w:numPr>
          <w:ilvl w:val="0"/>
          <w:numId w:val="1"/>
        </w:numPr>
        <w:shd w:val="clear" w:color="auto" w:fill="FFFFFF"/>
        <w:kinsoku/>
        <w:wordWrap/>
        <w:autoSpaceDN/>
        <w:bidi w:val="0"/>
        <w:adjustRightInd/>
        <w:spacing w:beforeAutospacing="0" w:line="600" w:lineRule="exact"/>
        <w:textAlignment w:val="auto"/>
        <w:rPr>
          <w:rStyle w:val="10"/>
          <w:rFonts w:hint="default" w:ascii="Times New Roman" w:hAnsi="Times New Roman" w:eastAsia="方正黑体_GBK" w:cs="Times New Roman"/>
          <w:b w:val="0"/>
          <w:bCs/>
          <w:color w:val="000000" w:themeColor="text1"/>
          <w:sz w:val="32"/>
          <w:szCs w:val="32"/>
          <w:highlight w:val="none"/>
          <w:shd w:val="clear" w:color="auto" w:fill="FFFFFF"/>
          <w14:textFill>
            <w14:solidFill>
              <w14:schemeClr w14:val="tx1"/>
            </w14:solidFill>
          </w14:textFill>
        </w:rPr>
      </w:pPr>
      <w:r>
        <w:rPr>
          <w:rStyle w:val="10"/>
          <w:rFonts w:hint="default" w:ascii="Times New Roman" w:hAnsi="Times New Roman" w:eastAsia="方正黑体_GBK" w:cs="Times New Roman"/>
          <w:b w:val="0"/>
          <w:bCs/>
          <w:color w:val="000000" w:themeColor="text1"/>
          <w:sz w:val="32"/>
          <w:szCs w:val="32"/>
          <w:highlight w:val="none"/>
          <w:shd w:val="clear" w:color="auto" w:fill="FFFFFF"/>
          <w14:textFill>
            <w14:solidFill>
              <w14:schemeClr w14:val="tx1"/>
            </w14:solidFill>
          </w14:textFill>
        </w:rPr>
        <w:t>预算绩效管理情况说明</w:t>
      </w:r>
    </w:p>
    <w:p>
      <w:pPr>
        <w:pStyle w:val="11"/>
        <w:keepNext w:val="0"/>
        <w:keepLines w:val="0"/>
        <w:pageBreakBefore w:val="0"/>
        <w:numPr>
          <w:ilvl w:val="0"/>
          <w:numId w:val="2"/>
        </w:numPr>
        <w:kinsoku/>
        <w:wordWrap/>
        <w:autoSpaceDE w:val="0"/>
        <w:autoSpaceDN/>
        <w:bidi w:val="0"/>
        <w:adjustRightInd/>
        <w:spacing w:beforeAutospacing="0" w:line="600" w:lineRule="exact"/>
        <w:ind w:firstLine="643"/>
        <w:textAlignment w:val="auto"/>
        <w:rPr>
          <w:rFonts w:hint="default" w:ascii="Times New Roman" w:hAnsi="Times New Roman" w:eastAsia="方正楷体_GBK" w:cs="Times New Roman"/>
          <w:b w:val="0"/>
          <w:bCs w:val="0"/>
          <w:color w:val="000000" w:themeColor="text1"/>
          <w:sz w:val="32"/>
          <w:szCs w:val="32"/>
          <w:highlight w:val="none"/>
          <w:shd w:val="clear" w:color="auto" w:fill="FFFFFF"/>
          <w14:textFill>
            <w14:solidFill>
              <w14:schemeClr w14:val="tx1"/>
            </w14:solidFill>
          </w14:textFill>
        </w:rPr>
      </w:pPr>
      <w:r>
        <w:rPr>
          <w:rFonts w:hint="eastAsia" w:ascii="Times New Roman" w:hAnsi="Times New Roman" w:eastAsia="方正楷体_GBK" w:cs="Times New Roman"/>
          <w:b w:val="0"/>
          <w:bCs w:val="0"/>
          <w:color w:val="000000" w:themeColor="text1"/>
          <w:sz w:val="32"/>
          <w:szCs w:val="32"/>
          <w:highlight w:val="none"/>
          <w:shd w:val="clear" w:color="auto" w:fill="FFFFFF"/>
          <w:lang w:val="en-US" w:eastAsia="zh-CN"/>
          <w14:textFill>
            <w14:solidFill>
              <w14:schemeClr w14:val="tx1"/>
            </w14:solidFill>
          </w14:textFill>
        </w:rPr>
        <w:t>部门</w:t>
      </w:r>
      <w:r>
        <w:rPr>
          <w:rFonts w:hint="default" w:ascii="Times New Roman" w:hAnsi="Times New Roman" w:eastAsia="方正楷体_GBK" w:cs="Times New Roman"/>
          <w:b w:val="0"/>
          <w:bCs w:val="0"/>
          <w:color w:val="000000" w:themeColor="text1"/>
          <w:sz w:val="32"/>
          <w:szCs w:val="32"/>
          <w:highlight w:val="none"/>
          <w:shd w:val="clear" w:color="auto" w:fill="FFFFFF"/>
          <w14:textFill>
            <w14:solidFill>
              <w14:schemeClr w14:val="tx1"/>
            </w14:solidFill>
          </w14:textFill>
        </w:rPr>
        <w:t>自评情况</w:t>
      </w:r>
    </w:p>
    <w:p>
      <w:pPr>
        <w:pStyle w:val="18"/>
        <w:keepNext w:val="0"/>
        <w:keepLines w:val="0"/>
        <w:pageBreakBefore w:val="0"/>
        <w:widowControl w:val="0"/>
        <w:suppressLineNumbers w:val="0"/>
        <w:kinsoku/>
        <w:wordWrap/>
        <w:autoSpaceDE w:val="0"/>
        <w:autoSpaceDN/>
        <w:bidi w:val="0"/>
        <w:adjustRightInd/>
        <w:spacing w:beforeAutospacing="0" w:line="600" w:lineRule="exact"/>
        <w:ind w:left="0" w:leftChars="0" w:firstLine="640" w:firstLineChars="200"/>
        <w:jc w:val="both"/>
        <w:textAlignment w:val="auto"/>
        <w:rPr>
          <w:rFonts w:hint="default" w:ascii="Times New Roman" w:hAnsi="Times New Roman" w:eastAsia="楷体" w:cs="Times New Roman"/>
          <w:b/>
          <w:bCs/>
          <w:color w:val="000000" w:themeColor="text1"/>
          <w:sz w:val="32"/>
          <w:szCs w:val="32"/>
          <w:highlight w:val="yellow"/>
          <w:shd w:val="clear" w:color="auto" w:fill="FFFFFF"/>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根据预算绩效管理要求，我</w:t>
      </w:r>
      <w:r>
        <w:rPr>
          <w:rFonts w:hint="eastAsia"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t>部门</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对部门整体</w:t>
      </w:r>
      <w:r>
        <w:rPr>
          <w:rFonts w:hint="default"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个项目开展了绩效自评，其中，以填报自评表形式开展自评</w:t>
      </w:r>
      <w:r>
        <w:rPr>
          <w:rFonts w:hint="default"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项，涉及资金</w:t>
      </w:r>
      <w:r>
        <w:rPr>
          <w:rFonts w:hint="default"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t>494.42</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万元。</w:t>
      </w:r>
    </w:p>
    <w:p>
      <w:pPr>
        <w:pStyle w:val="11"/>
        <w:autoSpaceDE w:val="0"/>
        <w:ind w:firstLine="643"/>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（二）</w:t>
      </w:r>
      <w:r>
        <w:rPr>
          <w:rFonts w:hint="eastAsia" w:ascii="Times New Roman" w:hAnsi="Times New Roman" w:eastAsia="方正楷体_GBK" w:cs="Times New Roman"/>
          <w:b w:val="0"/>
          <w:bCs w:val="0"/>
          <w:color w:val="000000" w:themeColor="text1"/>
          <w:sz w:val="32"/>
          <w:szCs w:val="32"/>
          <w:shd w:val="clear" w:color="auto" w:fill="FFFFFF"/>
          <w:lang w:val="en-US" w:eastAsia="zh-CN"/>
          <w14:textFill>
            <w14:solidFill>
              <w14:schemeClr w14:val="tx1"/>
            </w14:solidFill>
          </w14:textFill>
        </w:rPr>
        <w:t>部门</w:t>
      </w: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绩效评价情况</w:t>
      </w:r>
    </w:p>
    <w:tbl>
      <w:tblPr>
        <w:tblStyle w:val="7"/>
        <w:tblW w:w="90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14"/>
        <w:gridCol w:w="423"/>
        <w:gridCol w:w="688"/>
        <w:gridCol w:w="1217"/>
        <w:gridCol w:w="413"/>
        <w:gridCol w:w="573"/>
        <w:gridCol w:w="1275"/>
        <w:gridCol w:w="211"/>
        <w:gridCol w:w="519"/>
        <w:gridCol w:w="480"/>
        <w:gridCol w:w="258"/>
        <w:gridCol w:w="542"/>
        <w:gridCol w:w="95"/>
        <w:gridCol w:w="874"/>
      </w:tblGrid>
      <w:tr>
        <w:tblPrEx>
          <w:shd w:val="clear" w:color="auto" w:fill="auto"/>
          <w:tblCellMar>
            <w:top w:w="0" w:type="dxa"/>
            <w:left w:w="0" w:type="dxa"/>
            <w:bottom w:w="0" w:type="dxa"/>
            <w:right w:w="0" w:type="dxa"/>
          </w:tblCellMar>
        </w:tblPrEx>
        <w:trPr>
          <w:trHeight w:val="568" w:hRule="atLeast"/>
          <w:jc w:val="center"/>
        </w:trPr>
        <w:tc>
          <w:tcPr>
            <w:tcW w:w="9082"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28"/>
                <w:szCs w:val="28"/>
                <w14:textFill>
                  <w14:solidFill>
                    <w14:schemeClr w14:val="tx1"/>
                  </w14:solidFill>
                </w14:textFill>
              </w:rPr>
              <w:t>202</w:t>
            </w:r>
            <w:r>
              <w:rPr>
                <w:rFonts w:hint="default" w:ascii="Times New Roman" w:hAnsi="Times New Roman" w:eastAsia="方正仿宋_GBK" w:cs="Times New Roman"/>
                <w:b/>
                <w:bCs/>
                <w:color w:val="000000" w:themeColor="text1"/>
                <w:kern w:val="0"/>
                <w:sz w:val="28"/>
                <w:szCs w:val="28"/>
                <w:lang w:val="en-US" w:eastAsia="zh-CN"/>
                <w14:textFill>
                  <w14:solidFill>
                    <w14:schemeClr w14:val="tx1"/>
                  </w14:solidFill>
                </w14:textFill>
              </w:rPr>
              <w:t>3</w:t>
            </w:r>
            <w:r>
              <w:rPr>
                <w:rFonts w:hint="default" w:ascii="Times New Roman" w:hAnsi="Times New Roman" w:eastAsia="方正仿宋_GBK" w:cs="Times New Roman"/>
                <w:b/>
                <w:bCs/>
                <w:color w:val="000000" w:themeColor="text1"/>
                <w:kern w:val="0"/>
                <w:sz w:val="28"/>
                <w:szCs w:val="28"/>
                <w14:textFill>
                  <w14:solidFill>
                    <w14:schemeClr w14:val="tx1"/>
                  </w14:solidFill>
                </w14:textFill>
              </w:rPr>
              <w:t>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8" w:hRule="atLeast"/>
          <w:jc w:val="center"/>
        </w:trPr>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项目名称：</w:t>
            </w:r>
          </w:p>
        </w:tc>
        <w:tc>
          <w:tcPr>
            <w:tcW w:w="111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巫溪县应急管理局整体自评</w:t>
            </w:r>
          </w:p>
        </w:tc>
        <w:tc>
          <w:tcPr>
            <w:tcW w:w="12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项目编码：</w:t>
            </w:r>
          </w:p>
        </w:tc>
        <w:tc>
          <w:tcPr>
            <w:tcW w:w="98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50023800023P000091</w:t>
            </w:r>
          </w:p>
        </w:tc>
        <w:tc>
          <w:tcPr>
            <w:tcW w:w="12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自评总分：</w:t>
            </w:r>
          </w:p>
        </w:tc>
        <w:tc>
          <w:tcPr>
            <w:tcW w:w="7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99.98</w:t>
            </w:r>
          </w:p>
        </w:tc>
        <w:tc>
          <w:tcPr>
            <w:tcW w:w="73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p>
        </w:tc>
        <w:tc>
          <w:tcPr>
            <w:tcW w:w="151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jc w:val="center"/>
        </w:trPr>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项目主管部门：</w:t>
            </w:r>
          </w:p>
        </w:tc>
        <w:tc>
          <w:tcPr>
            <w:tcW w:w="111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049-巫溪县应急管理局</w:t>
            </w:r>
          </w:p>
        </w:tc>
        <w:tc>
          <w:tcPr>
            <w:tcW w:w="12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财政归口科室：</w:t>
            </w:r>
          </w:p>
        </w:tc>
        <w:tc>
          <w:tcPr>
            <w:tcW w:w="98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004-经建科</w:t>
            </w:r>
          </w:p>
        </w:tc>
        <w:tc>
          <w:tcPr>
            <w:tcW w:w="12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部门联系人：</w:t>
            </w:r>
          </w:p>
        </w:tc>
        <w:tc>
          <w:tcPr>
            <w:tcW w:w="7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王丽清</w:t>
            </w:r>
          </w:p>
        </w:tc>
        <w:tc>
          <w:tcPr>
            <w:tcW w:w="738"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联系电话：</w:t>
            </w:r>
          </w:p>
        </w:tc>
        <w:tc>
          <w:tcPr>
            <w:tcW w:w="151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18996633019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8" w:hRule="atLeast"/>
          <w:jc w:val="center"/>
        </w:trPr>
        <w:tc>
          <w:tcPr>
            <w:tcW w:w="9082"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2" w:hRule="atLeast"/>
          <w:jc w:val="center"/>
        </w:trPr>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c>
          <w:tcPr>
            <w:tcW w:w="190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年初预算数</w:t>
            </w:r>
          </w:p>
        </w:tc>
        <w:tc>
          <w:tcPr>
            <w:tcW w:w="98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全年（调整）预算数</w:t>
            </w:r>
          </w:p>
        </w:tc>
        <w:tc>
          <w:tcPr>
            <w:tcW w:w="1486"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全年执行数</w:t>
            </w:r>
          </w:p>
        </w:tc>
        <w:tc>
          <w:tcPr>
            <w:tcW w:w="125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执行率</w:t>
            </w:r>
          </w:p>
        </w:tc>
        <w:tc>
          <w:tcPr>
            <w:tcW w:w="637"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执行率权重</w:t>
            </w:r>
          </w:p>
        </w:tc>
        <w:tc>
          <w:tcPr>
            <w:tcW w:w="87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jc w:val="center"/>
        </w:trPr>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年度总金额</w:t>
            </w:r>
          </w:p>
        </w:tc>
        <w:tc>
          <w:tcPr>
            <w:tcW w:w="190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ind w:firstLine="417" w:firstLineChars="0"/>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15344247.04</w:t>
            </w:r>
          </w:p>
        </w:tc>
        <w:tc>
          <w:tcPr>
            <w:tcW w:w="986"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22312858.8</w:t>
            </w:r>
          </w:p>
        </w:tc>
        <w:tc>
          <w:tcPr>
            <w:tcW w:w="1486"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22268850.8</w:t>
            </w:r>
          </w:p>
        </w:tc>
        <w:tc>
          <w:tcPr>
            <w:tcW w:w="1257"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c>
          <w:tcPr>
            <w:tcW w:w="63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c>
          <w:tcPr>
            <w:tcW w:w="87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jc w:val="center"/>
        </w:trPr>
        <w:tc>
          <w:tcPr>
            <w:tcW w:w="19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center"/>
              <w:textAlignment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其中：财政拨款</w:t>
            </w:r>
          </w:p>
        </w:tc>
        <w:tc>
          <w:tcPr>
            <w:tcW w:w="190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15344247.04</w:t>
            </w:r>
          </w:p>
        </w:tc>
        <w:tc>
          <w:tcPr>
            <w:tcW w:w="986"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22312858.8</w:t>
            </w:r>
          </w:p>
        </w:tc>
        <w:tc>
          <w:tcPr>
            <w:tcW w:w="1486"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22268850.8</w:t>
            </w:r>
          </w:p>
        </w:tc>
        <w:tc>
          <w:tcPr>
            <w:tcW w:w="1257"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99.8</w:t>
            </w:r>
          </w:p>
        </w:tc>
        <w:tc>
          <w:tcPr>
            <w:tcW w:w="63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10.00</w:t>
            </w:r>
          </w:p>
        </w:tc>
        <w:tc>
          <w:tcPr>
            <w:tcW w:w="87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9082"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5" w:hRule="atLeast"/>
          <w:jc w:val="center"/>
        </w:trPr>
        <w:tc>
          <w:tcPr>
            <w:tcW w:w="384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年初绩效目标</w:t>
            </w:r>
          </w:p>
        </w:tc>
        <w:tc>
          <w:tcPr>
            <w:tcW w:w="2472" w:type="dxa"/>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全年（调整）绩效目标</w:t>
            </w:r>
          </w:p>
        </w:tc>
        <w:tc>
          <w:tcPr>
            <w:tcW w:w="2768"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8" w:hRule="atLeast"/>
          <w:jc w:val="center"/>
        </w:trPr>
        <w:tc>
          <w:tcPr>
            <w:tcW w:w="38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加强应急管理和防灾减灾能力体系建设，营造全县良好安全稳定环境。;组建县级综合救援队伍，开展日常训练、培训应急救援业务，开展安全生产事故以及自然灾害救援工作。;建立完善应急预案，加强日常应急演练，做好应急处置评估，不断提高快速反应、科学处置能力规范管理，对应急救援设备设施进行维护、保障，确保时刻处于良好待命状态，能够在参与救援工作时拉得出去，用得出去。做好在群因灾倒塌民房重建工作</w:t>
            </w:r>
            <w:r>
              <w:rPr>
                <w:rFonts w:hint="default" w:ascii="Times New Roman" w:hAnsi="Times New Roman" w:eastAsia="方正仿宋_GBK" w:cs="Times New Roman"/>
                <w:color w:val="000000" w:themeColor="text1"/>
                <w:kern w:val="0"/>
                <w:sz w:val="18"/>
                <w:szCs w:val="18"/>
                <w:lang w:eastAsia="zh-CN"/>
                <w14:textFill>
                  <w14:solidFill>
                    <w14:schemeClr w14:val="tx1"/>
                  </w14:solidFill>
                </w14:textFill>
              </w:rPr>
              <w:t>。</w:t>
            </w:r>
          </w:p>
        </w:tc>
        <w:tc>
          <w:tcPr>
            <w:tcW w:w="247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加强应急管理和防灾减灾能力体系建设，营造全县良好安全稳定环境。;组建县级综合救援队伍，开展日常训练、培训应急救援业务，开展安全生产事故以及自然灾害救援工作。;建立完善应急预案，加强日常应急演练，做好应急处置评估，不断提高快速反应、科学处置能力规范管理，对应急救援设备设施进行维护、保障，确保时刻处于良好待命状态，能够在参与救援工作时拉得出去，用得出去。做好在群因灾倒塌民房重建工作</w:t>
            </w:r>
            <w:r>
              <w:rPr>
                <w:rFonts w:hint="default" w:ascii="Times New Roman" w:hAnsi="Times New Roman" w:eastAsia="方正仿宋_GBK" w:cs="Times New Roman"/>
                <w:color w:val="000000" w:themeColor="text1"/>
                <w:kern w:val="0"/>
                <w:sz w:val="18"/>
                <w:szCs w:val="18"/>
                <w:lang w:eastAsia="zh-CN"/>
                <w14:textFill>
                  <w14:solidFill>
                    <w14:schemeClr w14:val="tx1"/>
                  </w14:solidFill>
                </w14:textFill>
              </w:rPr>
              <w:t>。</w:t>
            </w:r>
          </w:p>
        </w:tc>
        <w:tc>
          <w:tcPr>
            <w:tcW w:w="2768"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加强应急管理和防灾减灾能力体系建设，营造全县良好安全稳定环境。;组建县级综合救援队伍，开展日常训练、培训应急救援业务，开展安全生产事故以及自然灾害救援工作。;建立完善应急预案，加强日常应急演练，做好应急处置评估，不断提高快速反应、科学处置能力规范管理，对应急救援设备设施进行维护、保障，确保时刻处于良好待命状态，能够在参与救援工作时拉得出去，用得出去。做好在群因灾倒塌民房重建工作</w:t>
            </w:r>
            <w:r>
              <w:rPr>
                <w:rFonts w:hint="default" w:ascii="Times New Roman" w:hAnsi="Times New Roman" w:eastAsia="方正仿宋_GBK" w:cs="Times New Roman"/>
                <w:color w:val="000000" w:themeColor="text1"/>
                <w:kern w:val="0"/>
                <w:sz w:val="18"/>
                <w:szCs w:val="18"/>
                <w:lang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9082" w:type="dxa"/>
            <w:gridSpan w:val="1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1" w:hRule="atLeast"/>
          <w:jc w:val="center"/>
        </w:trPr>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指标名称</w:t>
            </w:r>
          </w:p>
        </w:tc>
        <w:tc>
          <w:tcPr>
            <w:tcW w:w="42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计量单位</w:t>
            </w:r>
          </w:p>
        </w:tc>
        <w:tc>
          <w:tcPr>
            <w:tcW w:w="68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指标性质</w:t>
            </w:r>
          </w:p>
        </w:tc>
        <w:tc>
          <w:tcPr>
            <w:tcW w:w="121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指标值</w:t>
            </w:r>
          </w:p>
        </w:tc>
        <w:tc>
          <w:tcPr>
            <w:tcW w:w="41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全年完成值</w:t>
            </w:r>
          </w:p>
        </w:tc>
        <w:tc>
          <w:tcPr>
            <w:tcW w:w="5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偏离度（%）</w:t>
            </w:r>
          </w:p>
        </w:tc>
        <w:tc>
          <w:tcPr>
            <w:tcW w:w="12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得分系数（%）</w:t>
            </w:r>
          </w:p>
        </w:tc>
        <w:tc>
          <w:tcPr>
            <w:tcW w:w="7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指标权重</w:t>
            </w:r>
          </w:p>
        </w:tc>
        <w:tc>
          <w:tcPr>
            <w:tcW w:w="48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指标得分</w:t>
            </w:r>
          </w:p>
        </w:tc>
        <w:tc>
          <w:tcPr>
            <w:tcW w:w="8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是否核心指标</w:t>
            </w:r>
          </w:p>
        </w:tc>
        <w:tc>
          <w:tcPr>
            <w:tcW w:w="9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8" w:hRule="atLeast"/>
          <w:jc w:val="center"/>
        </w:trPr>
        <w:tc>
          <w:tcPr>
            <w:tcW w:w="1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安全生产与自然灾害宣传次数</w:t>
            </w:r>
          </w:p>
        </w:tc>
        <w:tc>
          <w:tcPr>
            <w:tcW w:w="4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次</w:t>
            </w:r>
          </w:p>
        </w:tc>
        <w:tc>
          <w:tcPr>
            <w:tcW w:w="6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w:t>
            </w:r>
          </w:p>
        </w:tc>
        <w:tc>
          <w:tcPr>
            <w:tcW w:w="121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lang w:eastAsia="zh-CN"/>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2</w:t>
            </w:r>
          </w:p>
        </w:tc>
        <w:tc>
          <w:tcPr>
            <w:tcW w:w="4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lang w:eastAsia="zh-CN"/>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2</w:t>
            </w:r>
          </w:p>
        </w:tc>
        <w:tc>
          <w:tcPr>
            <w:tcW w:w="57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0</w:t>
            </w:r>
          </w:p>
        </w:tc>
        <w:tc>
          <w:tcPr>
            <w:tcW w:w="12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100</w:t>
            </w:r>
          </w:p>
        </w:tc>
        <w:tc>
          <w:tcPr>
            <w:tcW w:w="7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20</w:t>
            </w:r>
          </w:p>
        </w:tc>
        <w:tc>
          <w:tcPr>
            <w:tcW w:w="48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20</w:t>
            </w:r>
          </w:p>
        </w:tc>
        <w:tc>
          <w:tcPr>
            <w:tcW w:w="80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是</w:t>
            </w:r>
          </w:p>
        </w:tc>
        <w:tc>
          <w:tcPr>
            <w:tcW w:w="96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1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安全生产形势</w:t>
            </w:r>
          </w:p>
        </w:tc>
        <w:tc>
          <w:tcPr>
            <w:tcW w:w="4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p>
        </w:tc>
        <w:tc>
          <w:tcPr>
            <w:tcW w:w="6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定性</w:t>
            </w:r>
          </w:p>
        </w:tc>
        <w:tc>
          <w:tcPr>
            <w:tcW w:w="121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明显改善</w:t>
            </w:r>
          </w:p>
        </w:tc>
        <w:tc>
          <w:tcPr>
            <w:tcW w:w="4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1</w:t>
            </w:r>
          </w:p>
        </w:tc>
        <w:tc>
          <w:tcPr>
            <w:tcW w:w="57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0</w:t>
            </w:r>
          </w:p>
        </w:tc>
        <w:tc>
          <w:tcPr>
            <w:tcW w:w="12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100</w:t>
            </w:r>
          </w:p>
        </w:tc>
        <w:tc>
          <w:tcPr>
            <w:tcW w:w="7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30</w:t>
            </w:r>
          </w:p>
        </w:tc>
        <w:tc>
          <w:tcPr>
            <w:tcW w:w="48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30</w:t>
            </w:r>
          </w:p>
        </w:tc>
        <w:tc>
          <w:tcPr>
            <w:tcW w:w="80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是</w:t>
            </w:r>
          </w:p>
        </w:tc>
        <w:tc>
          <w:tcPr>
            <w:tcW w:w="96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8" w:hRule="atLeast"/>
          <w:jc w:val="center"/>
        </w:trPr>
        <w:tc>
          <w:tcPr>
            <w:tcW w:w="1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应急管理和防灾减灾能力体系</w:t>
            </w:r>
          </w:p>
        </w:tc>
        <w:tc>
          <w:tcPr>
            <w:tcW w:w="4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p>
        </w:tc>
        <w:tc>
          <w:tcPr>
            <w:tcW w:w="6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定性</w:t>
            </w:r>
          </w:p>
        </w:tc>
        <w:tc>
          <w:tcPr>
            <w:tcW w:w="121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有效改善</w:t>
            </w:r>
          </w:p>
        </w:tc>
        <w:tc>
          <w:tcPr>
            <w:tcW w:w="4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1</w:t>
            </w:r>
          </w:p>
        </w:tc>
        <w:tc>
          <w:tcPr>
            <w:tcW w:w="57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0</w:t>
            </w:r>
          </w:p>
        </w:tc>
        <w:tc>
          <w:tcPr>
            <w:tcW w:w="12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100</w:t>
            </w:r>
          </w:p>
        </w:tc>
        <w:tc>
          <w:tcPr>
            <w:tcW w:w="7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20</w:t>
            </w:r>
          </w:p>
        </w:tc>
        <w:tc>
          <w:tcPr>
            <w:tcW w:w="48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20</w:t>
            </w:r>
          </w:p>
        </w:tc>
        <w:tc>
          <w:tcPr>
            <w:tcW w:w="80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是</w:t>
            </w:r>
          </w:p>
        </w:tc>
        <w:tc>
          <w:tcPr>
            <w:tcW w:w="96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jc w:val="center"/>
        </w:trPr>
        <w:tc>
          <w:tcPr>
            <w:tcW w:w="1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突发事件相关人员到场率</w:t>
            </w:r>
          </w:p>
        </w:tc>
        <w:tc>
          <w:tcPr>
            <w:tcW w:w="4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w:t>
            </w:r>
          </w:p>
        </w:tc>
        <w:tc>
          <w:tcPr>
            <w:tcW w:w="6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w:t>
            </w:r>
          </w:p>
        </w:tc>
        <w:tc>
          <w:tcPr>
            <w:tcW w:w="121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90</w:t>
            </w:r>
          </w:p>
        </w:tc>
        <w:tc>
          <w:tcPr>
            <w:tcW w:w="4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90</w:t>
            </w:r>
          </w:p>
        </w:tc>
        <w:tc>
          <w:tcPr>
            <w:tcW w:w="57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0</w:t>
            </w:r>
          </w:p>
        </w:tc>
        <w:tc>
          <w:tcPr>
            <w:tcW w:w="12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100</w:t>
            </w:r>
          </w:p>
        </w:tc>
        <w:tc>
          <w:tcPr>
            <w:tcW w:w="7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15</w:t>
            </w:r>
          </w:p>
        </w:tc>
        <w:tc>
          <w:tcPr>
            <w:tcW w:w="48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15</w:t>
            </w:r>
          </w:p>
        </w:tc>
        <w:tc>
          <w:tcPr>
            <w:tcW w:w="80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是</w:t>
            </w:r>
          </w:p>
        </w:tc>
        <w:tc>
          <w:tcPr>
            <w:tcW w:w="96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jc w:val="center"/>
        </w:trPr>
        <w:tc>
          <w:tcPr>
            <w:tcW w:w="1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群众对我局安全生产工作满意度</w:t>
            </w:r>
          </w:p>
        </w:tc>
        <w:tc>
          <w:tcPr>
            <w:tcW w:w="4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w:t>
            </w:r>
          </w:p>
        </w:tc>
        <w:tc>
          <w:tcPr>
            <w:tcW w:w="6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w:t>
            </w:r>
          </w:p>
        </w:tc>
        <w:tc>
          <w:tcPr>
            <w:tcW w:w="121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95</w:t>
            </w:r>
          </w:p>
        </w:tc>
        <w:tc>
          <w:tcPr>
            <w:tcW w:w="4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95</w:t>
            </w:r>
          </w:p>
        </w:tc>
        <w:tc>
          <w:tcPr>
            <w:tcW w:w="57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0</w:t>
            </w:r>
          </w:p>
        </w:tc>
        <w:tc>
          <w:tcPr>
            <w:tcW w:w="12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100</w:t>
            </w:r>
          </w:p>
        </w:tc>
        <w:tc>
          <w:tcPr>
            <w:tcW w:w="7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15</w:t>
            </w:r>
          </w:p>
        </w:tc>
        <w:tc>
          <w:tcPr>
            <w:tcW w:w="48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15</w:t>
            </w:r>
          </w:p>
        </w:tc>
        <w:tc>
          <w:tcPr>
            <w:tcW w:w="80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是</w:t>
            </w:r>
          </w:p>
        </w:tc>
        <w:tc>
          <w:tcPr>
            <w:tcW w:w="96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4" w:hRule="atLeast"/>
          <w:jc w:val="center"/>
        </w:trPr>
        <w:tc>
          <w:tcPr>
            <w:tcW w:w="15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安全生产与自然灾害宣传次数</w:t>
            </w:r>
          </w:p>
        </w:tc>
        <w:tc>
          <w:tcPr>
            <w:tcW w:w="42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次</w:t>
            </w:r>
          </w:p>
        </w:tc>
        <w:tc>
          <w:tcPr>
            <w:tcW w:w="68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w:t>
            </w:r>
          </w:p>
        </w:tc>
        <w:tc>
          <w:tcPr>
            <w:tcW w:w="121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center"/>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2</w:t>
            </w:r>
          </w:p>
        </w:tc>
        <w:tc>
          <w:tcPr>
            <w:tcW w:w="41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2</w:t>
            </w:r>
          </w:p>
        </w:tc>
        <w:tc>
          <w:tcPr>
            <w:tcW w:w="57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0</w:t>
            </w:r>
          </w:p>
        </w:tc>
        <w:tc>
          <w:tcPr>
            <w:tcW w:w="1275"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100</w:t>
            </w:r>
          </w:p>
        </w:tc>
        <w:tc>
          <w:tcPr>
            <w:tcW w:w="7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20</w:t>
            </w:r>
          </w:p>
        </w:tc>
        <w:tc>
          <w:tcPr>
            <w:tcW w:w="48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20</w:t>
            </w:r>
          </w:p>
        </w:tc>
        <w:tc>
          <w:tcPr>
            <w:tcW w:w="80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80" w:firstLineChars="100"/>
              <w:jc w:val="both"/>
              <w:textAlignment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r>
              <w:rPr>
                <w:rFonts w:hint="default" w:ascii="Times New Roman" w:hAnsi="Times New Roman" w:eastAsia="方正书宋_GBK" w:cs="Times New Roman"/>
                <w:i w:val="0"/>
                <w:iCs w:val="0"/>
                <w:color w:val="000000" w:themeColor="text1"/>
                <w:kern w:val="0"/>
                <w:sz w:val="18"/>
                <w:szCs w:val="18"/>
                <w:u w:val="none"/>
                <w:lang w:val="en-US" w:eastAsia="zh-CN" w:bidi="ar"/>
                <w14:textFill>
                  <w14:solidFill>
                    <w14:schemeClr w14:val="tx1"/>
                  </w14:solidFill>
                </w14:textFill>
              </w:rPr>
              <w:t>是</w:t>
            </w:r>
          </w:p>
        </w:tc>
        <w:tc>
          <w:tcPr>
            <w:tcW w:w="96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书宋_GBK" w:cs="Times New Roman"/>
                <w:color w:val="000000" w:themeColor="text1"/>
                <w:kern w:val="0"/>
                <w:sz w:val="18"/>
                <w:szCs w:val="18"/>
                <w14:textFill>
                  <w14:solidFill>
                    <w14:schemeClr w14:val="tx1"/>
                  </w14:solidFill>
                </w14:textFill>
              </w:rPr>
            </w:pPr>
          </w:p>
        </w:tc>
      </w:tr>
    </w:tbl>
    <w:p>
      <w:pPr>
        <w:pStyle w:val="14"/>
        <w:autoSpaceDE w:val="0"/>
        <w:ind w:left="0" w:leftChars="0" w:firstLine="0" w:firstLineChars="0"/>
        <w:jc w:val="both"/>
        <w:rPr>
          <w:rFonts w:hint="default" w:ascii="Times New Roman" w:hAnsi="Times New Roman" w:eastAsia="方正书宋_GBK" w:cs="Times New Roman"/>
          <w:color w:val="000000" w:themeColor="text1"/>
          <w:sz w:val="32"/>
          <w:szCs w:val="32"/>
          <w:shd w:val="clear" w:color="auto" w:fill="FFFFFF"/>
          <w14:textFill>
            <w14:solidFill>
              <w14:schemeClr w14:val="tx1"/>
            </w14:solidFill>
          </w14:textFill>
        </w:rPr>
        <w:sectPr>
          <w:footerReference r:id="rId3" w:type="default"/>
          <w:pgSz w:w="11915" w:h="16840"/>
          <w:pgMar w:top="2098" w:right="1474" w:bottom="1984" w:left="1587" w:header="851" w:footer="992" w:gutter="0"/>
          <w:pgNumType w:fmt="decimal"/>
          <w:cols w:space="720" w:num="1"/>
          <w:docGrid w:type="lines" w:linePitch="312" w:charSpace="0"/>
        </w:sectPr>
      </w:pPr>
    </w:p>
    <w:tbl>
      <w:tblPr>
        <w:tblStyle w:val="7"/>
        <w:tblW w:w="105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60"/>
        <w:gridCol w:w="540"/>
        <w:gridCol w:w="810"/>
        <w:gridCol w:w="1311"/>
        <w:gridCol w:w="339"/>
        <w:gridCol w:w="572"/>
        <w:gridCol w:w="314"/>
        <w:gridCol w:w="1241"/>
        <w:gridCol w:w="504"/>
        <w:gridCol w:w="96"/>
        <w:gridCol w:w="336"/>
        <w:gridCol w:w="668"/>
        <w:gridCol w:w="1496"/>
        <w:gridCol w:w="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520" w:hRule="atLeast"/>
          <w:jc w:val="center"/>
        </w:trPr>
        <w:tc>
          <w:tcPr>
            <w:tcW w:w="10487"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28"/>
                <w:szCs w:val="28"/>
                <w14:textFill>
                  <w14:solidFill>
                    <w14:schemeClr w14:val="tx1"/>
                  </w14:solidFill>
                </w14:textFill>
              </w:rPr>
              <w:t>202</w:t>
            </w:r>
            <w:r>
              <w:rPr>
                <w:rFonts w:hint="default" w:ascii="Times New Roman" w:hAnsi="Times New Roman" w:eastAsia="方正仿宋_GBK" w:cs="Times New Roman"/>
                <w:b/>
                <w:bCs/>
                <w:color w:val="000000" w:themeColor="text1"/>
                <w:kern w:val="0"/>
                <w:sz w:val="28"/>
                <w:szCs w:val="28"/>
                <w:lang w:val="en-US" w:eastAsia="zh-CN"/>
                <w14:textFill>
                  <w14:solidFill>
                    <w14:schemeClr w14:val="tx1"/>
                  </w14:solidFill>
                </w14:textFill>
              </w:rPr>
              <w:t>3</w:t>
            </w:r>
            <w:r>
              <w:rPr>
                <w:rFonts w:hint="default" w:ascii="Times New Roman" w:hAnsi="Times New Roman" w:eastAsia="方正仿宋_GBK" w:cs="Times New Roman"/>
                <w:b/>
                <w:bCs/>
                <w:color w:val="000000" w:themeColor="text1"/>
                <w:kern w:val="0"/>
                <w:sz w:val="28"/>
                <w:szCs w:val="28"/>
                <w14:textFill>
                  <w14:solidFill>
                    <w14:schemeClr w14:val="tx1"/>
                  </w14:solidFill>
                </w14:textFill>
              </w:rPr>
              <w:t>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90" w:type="dxa"/>
          <w:trHeight w:val="1035" w:hRule="atLeast"/>
          <w:jc w:val="center"/>
        </w:trPr>
        <w:tc>
          <w:tcPr>
            <w:tcW w:w="2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项目名称：</w:t>
            </w:r>
          </w:p>
        </w:tc>
        <w:tc>
          <w:tcPr>
            <w:tcW w:w="13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巫溪县综合救援大队应急值守政务值班应急救援</w:t>
            </w:r>
          </w:p>
        </w:tc>
        <w:tc>
          <w:tcPr>
            <w:tcW w:w="131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项目编码：</w:t>
            </w:r>
          </w:p>
        </w:tc>
        <w:tc>
          <w:tcPr>
            <w:tcW w:w="12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5</w:t>
            </w:r>
            <w:r>
              <w:rPr>
                <w:rFonts w:hint="default" w:ascii="Times New Roman" w:hAnsi="Times New Roman" w:eastAsia="方正仿宋_GBK" w:cs="Times New Roman"/>
                <w:color w:val="000000" w:themeColor="text1"/>
                <w:kern w:val="0"/>
                <w:sz w:val="18"/>
                <w:szCs w:val="18"/>
                <w14:textFill>
                  <w14:solidFill>
                    <w14:schemeClr w14:val="tx1"/>
                  </w14:solidFill>
                </w14:textFill>
              </w:rPr>
              <w:t>0023823T000003441437</w:t>
            </w:r>
          </w:p>
        </w:tc>
        <w:tc>
          <w:tcPr>
            <w:tcW w:w="12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自评总分：</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100.00</w:t>
            </w:r>
          </w:p>
        </w:tc>
        <w:tc>
          <w:tcPr>
            <w:tcW w:w="100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90" w:type="dxa"/>
          <w:trHeight w:val="557" w:hRule="atLeast"/>
          <w:jc w:val="center"/>
        </w:trPr>
        <w:tc>
          <w:tcPr>
            <w:tcW w:w="2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项目主管部门：</w:t>
            </w:r>
          </w:p>
        </w:tc>
        <w:tc>
          <w:tcPr>
            <w:tcW w:w="135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049-巫溪县应急管理局</w:t>
            </w:r>
          </w:p>
        </w:tc>
        <w:tc>
          <w:tcPr>
            <w:tcW w:w="131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财政归口科室：</w:t>
            </w:r>
          </w:p>
        </w:tc>
        <w:tc>
          <w:tcPr>
            <w:tcW w:w="12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004-经建科</w:t>
            </w:r>
          </w:p>
        </w:tc>
        <w:tc>
          <w:tcPr>
            <w:tcW w:w="12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部门联系人：</w:t>
            </w:r>
          </w:p>
        </w:tc>
        <w:tc>
          <w:tcPr>
            <w:tcW w:w="60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刘永界</w:t>
            </w:r>
          </w:p>
        </w:tc>
        <w:tc>
          <w:tcPr>
            <w:tcW w:w="100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联系电话：</w:t>
            </w: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18223608919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90" w:type="dxa"/>
          <w:trHeight w:val="353" w:hRule="atLeast"/>
          <w:jc w:val="center"/>
        </w:trPr>
        <w:tc>
          <w:tcPr>
            <w:tcW w:w="10487"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5" w:hRule="atLeast"/>
          <w:jc w:val="center"/>
        </w:trPr>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c>
          <w:tcPr>
            <w:tcW w:w="212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年初预算数</w:t>
            </w:r>
          </w:p>
        </w:tc>
        <w:tc>
          <w:tcPr>
            <w:tcW w:w="12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全年（调整）预算数</w:t>
            </w:r>
          </w:p>
        </w:tc>
        <w:tc>
          <w:tcPr>
            <w:tcW w:w="12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全年执行数</w:t>
            </w:r>
          </w:p>
        </w:tc>
        <w:tc>
          <w:tcPr>
            <w:tcW w:w="600"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执行率</w:t>
            </w:r>
          </w:p>
        </w:tc>
        <w:tc>
          <w:tcPr>
            <w:tcW w:w="100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执行率权重</w:t>
            </w: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执行率得分</w:t>
            </w:r>
          </w:p>
        </w:tc>
        <w:tc>
          <w:tcPr>
            <w:tcW w:w="90" w:type="dxa"/>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1" w:hRule="atLeast"/>
          <w:jc w:val="center"/>
        </w:trPr>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年度总金额</w:t>
            </w:r>
          </w:p>
        </w:tc>
        <w:tc>
          <w:tcPr>
            <w:tcW w:w="212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1500000</w:t>
            </w:r>
          </w:p>
        </w:tc>
        <w:tc>
          <w:tcPr>
            <w:tcW w:w="12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1500000</w:t>
            </w:r>
          </w:p>
        </w:tc>
        <w:tc>
          <w:tcPr>
            <w:tcW w:w="12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1500000</w:t>
            </w:r>
          </w:p>
        </w:tc>
        <w:tc>
          <w:tcPr>
            <w:tcW w:w="600"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c>
          <w:tcPr>
            <w:tcW w:w="100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c>
          <w:tcPr>
            <w:tcW w:w="90" w:type="dxa"/>
            <w:vMerge w:val="continue"/>
            <w:tcBorders>
              <w:top w:val="nil"/>
              <w:left w:val="nil"/>
              <w:bottom w:val="nil"/>
              <w:right w:val="nil"/>
            </w:tcBorders>
            <w:shd w:val="clear" w:color="auto" w:fill="auto"/>
            <w:tcMar>
              <w:top w:w="15" w:type="dxa"/>
              <w:left w:w="15" w:type="dxa"/>
              <w:right w:w="15" w:type="dxa"/>
            </w:tcMar>
            <w:vAlign w:val="center"/>
          </w:tcPr>
          <w:p>
            <w:pPr>
              <w:rPr>
                <w:rFonts w:hint="default" w:ascii="Times New Roman" w:hAnsi="Times New Roman" w:cs="Times New Roman"/>
                <w:color w:val="000000" w:themeColor="text1"/>
                <w:sz w:val="20"/>
                <w:szCs w:val="20"/>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jc w:val="center"/>
        </w:trPr>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其中：财政拨款</w:t>
            </w:r>
          </w:p>
        </w:tc>
        <w:tc>
          <w:tcPr>
            <w:tcW w:w="212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1500000</w:t>
            </w:r>
          </w:p>
        </w:tc>
        <w:tc>
          <w:tcPr>
            <w:tcW w:w="122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1500000</w:t>
            </w:r>
          </w:p>
        </w:tc>
        <w:tc>
          <w:tcPr>
            <w:tcW w:w="124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1500000</w:t>
            </w:r>
          </w:p>
        </w:tc>
        <w:tc>
          <w:tcPr>
            <w:tcW w:w="600" w:type="dxa"/>
            <w:gridSpan w:val="2"/>
            <w:tcBorders>
              <w:top w:val="single" w:color="000000"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100%</w:t>
            </w:r>
          </w:p>
        </w:tc>
        <w:tc>
          <w:tcPr>
            <w:tcW w:w="1004"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10</w:t>
            </w: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10</w:t>
            </w:r>
          </w:p>
        </w:tc>
        <w:tc>
          <w:tcPr>
            <w:tcW w:w="9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90" w:type="dxa"/>
          <w:trHeight w:val="311" w:hRule="atLeast"/>
          <w:jc w:val="center"/>
        </w:trPr>
        <w:tc>
          <w:tcPr>
            <w:tcW w:w="10487"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90" w:type="dxa"/>
          <w:trHeight w:val="340" w:hRule="atLeast"/>
          <w:jc w:val="center"/>
        </w:trPr>
        <w:tc>
          <w:tcPr>
            <w:tcW w:w="49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年初绩效目标</w:t>
            </w:r>
          </w:p>
        </w:tc>
        <w:tc>
          <w:tcPr>
            <w:tcW w:w="2466"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全年（调整）绩效目标</w:t>
            </w:r>
          </w:p>
        </w:tc>
        <w:tc>
          <w:tcPr>
            <w:tcW w:w="3100"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90" w:type="dxa"/>
          <w:trHeight w:val="2612" w:hRule="atLeast"/>
          <w:jc w:val="center"/>
        </w:trPr>
        <w:tc>
          <w:tcPr>
            <w:tcW w:w="492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组建综合救援队伍一支 ，开展日常救援能力训练，提高救援队伍应对处置能力，在自然灾害发生及其他需要救援事件时，组织开展救援，减少人民群众灾害损失。</w:t>
            </w:r>
          </w:p>
        </w:tc>
        <w:tc>
          <w:tcPr>
            <w:tcW w:w="2466"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c>
          <w:tcPr>
            <w:tcW w:w="3100"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14:textFill>
                  <w14:solidFill>
                    <w14:schemeClr w14:val="tx1"/>
                  </w14:solidFill>
                </w14:textFill>
              </w:rPr>
              <w:t>开展日常救援能力训练，提高救援队伍应对处置能力，在自然灾害发生及其他需要救援事件时，组织开展救援，减少人民群众灾害损失。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345" w:hRule="atLeast"/>
          <w:jc w:val="center"/>
        </w:trPr>
        <w:tc>
          <w:tcPr>
            <w:tcW w:w="10487"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90" w:type="dxa"/>
          <w:trHeight w:val="714" w:hRule="atLeast"/>
          <w:jc w:val="center"/>
        </w:trPr>
        <w:tc>
          <w:tcPr>
            <w:tcW w:w="2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指标名称</w:t>
            </w:r>
          </w:p>
        </w:tc>
        <w:tc>
          <w:tcPr>
            <w:tcW w:w="5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计量单位</w:t>
            </w:r>
          </w:p>
        </w:tc>
        <w:tc>
          <w:tcPr>
            <w:tcW w:w="81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指标性质</w:t>
            </w:r>
          </w:p>
        </w:tc>
        <w:tc>
          <w:tcPr>
            <w:tcW w:w="131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指标值</w:t>
            </w:r>
          </w:p>
        </w:tc>
        <w:tc>
          <w:tcPr>
            <w:tcW w:w="3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全年完成值</w:t>
            </w:r>
          </w:p>
        </w:tc>
        <w:tc>
          <w:tcPr>
            <w:tcW w:w="5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偏离度（%）</w:t>
            </w:r>
          </w:p>
        </w:tc>
        <w:tc>
          <w:tcPr>
            <w:tcW w:w="155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得分系数（%）</w:t>
            </w:r>
          </w:p>
        </w:tc>
        <w:tc>
          <w:tcPr>
            <w:tcW w:w="50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指标权重</w:t>
            </w:r>
          </w:p>
        </w:tc>
        <w:tc>
          <w:tcPr>
            <w:tcW w:w="43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指标得分</w:t>
            </w:r>
          </w:p>
        </w:tc>
        <w:tc>
          <w:tcPr>
            <w:tcW w:w="66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是否核心指标</w:t>
            </w: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仿宋_GBK" w:cs="Times New Roman"/>
                <w:b/>
                <w:bCs/>
                <w:color w:val="000000" w:themeColor="text1"/>
                <w:kern w:val="0"/>
                <w:sz w:val="18"/>
                <w:szCs w:val="18"/>
                <w14:textFill>
                  <w14:solidFill>
                    <w14:schemeClr w14:val="tx1"/>
                  </w14:solidFill>
                </w14:textFill>
              </w:rPr>
            </w:pPr>
            <w:r>
              <w:rPr>
                <w:rFonts w:hint="default" w:ascii="Times New Roman" w:hAnsi="Times New Roman" w:eastAsia="方正仿宋_GBK" w:cs="Times New Roman"/>
                <w:b/>
                <w:bCs/>
                <w:color w:val="000000" w:themeColor="text1"/>
                <w:kern w:val="0"/>
                <w:sz w:val="18"/>
                <w:szCs w:val="18"/>
                <w14:textFill>
                  <w14:solidFill>
                    <w14:schemeClr w14:val="tx1"/>
                  </w14:solidFill>
                </w14:textFill>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588" w:hRule="atLeast"/>
          <w:jc w:val="center"/>
        </w:trPr>
        <w:tc>
          <w:tcPr>
            <w:tcW w:w="2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培养专业救援人员</w:t>
            </w: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人</w:t>
            </w:r>
          </w:p>
        </w:tc>
        <w:tc>
          <w:tcPr>
            <w:tcW w:w="8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w:t>
            </w:r>
          </w:p>
        </w:tc>
        <w:tc>
          <w:tcPr>
            <w:tcW w:w="13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30</w:t>
            </w:r>
          </w:p>
        </w:tc>
        <w:tc>
          <w:tcPr>
            <w:tcW w:w="33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30</w:t>
            </w:r>
          </w:p>
        </w:tc>
        <w:tc>
          <w:tcPr>
            <w:tcW w:w="57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0</w:t>
            </w:r>
          </w:p>
        </w:tc>
        <w:tc>
          <w:tcPr>
            <w:tcW w:w="155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100</w:t>
            </w:r>
          </w:p>
        </w:tc>
        <w:tc>
          <w:tcPr>
            <w:tcW w:w="5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20</w:t>
            </w:r>
          </w:p>
        </w:tc>
        <w:tc>
          <w:tcPr>
            <w:tcW w:w="432"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20</w:t>
            </w:r>
          </w:p>
        </w:tc>
        <w:tc>
          <w:tcPr>
            <w:tcW w:w="66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是</w:t>
            </w: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90" w:type="dxa"/>
          <w:trHeight w:val="560" w:hRule="atLeast"/>
          <w:jc w:val="center"/>
        </w:trPr>
        <w:tc>
          <w:tcPr>
            <w:tcW w:w="2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组建综合救援队伍</w:t>
            </w: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个</w:t>
            </w:r>
          </w:p>
        </w:tc>
        <w:tc>
          <w:tcPr>
            <w:tcW w:w="8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w:t>
            </w:r>
          </w:p>
        </w:tc>
        <w:tc>
          <w:tcPr>
            <w:tcW w:w="13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1</w:t>
            </w:r>
          </w:p>
        </w:tc>
        <w:tc>
          <w:tcPr>
            <w:tcW w:w="33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1</w:t>
            </w:r>
          </w:p>
        </w:tc>
        <w:tc>
          <w:tcPr>
            <w:tcW w:w="57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0</w:t>
            </w:r>
          </w:p>
        </w:tc>
        <w:tc>
          <w:tcPr>
            <w:tcW w:w="155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100</w:t>
            </w:r>
          </w:p>
        </w:tc>
        <w:tc>
          <w:tcPr>
            <w:tcW w:w="5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20</w:t>
            </w:r>
          </w:p>
        </w:tc>
        <w:tc>
          <w:tcPr>
            <w:tcW w:w="432"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20</w:t>
            </w:r>
          </w:p>
        </w:tc>
        <w:tc>
          <w:tcPr>
            <w:tcW w:w="66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是</w:t>
            </w: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0" w:type="dxa"/>
          <w:trHeight w:val="605" w:hRule="atLeast"/>
          <w:jc w:val="center"/>
        </w:trPr>
        <w:tc>
          <w:tcPr>
            <w:tcW w:w="2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工资按时发放率</w:t>
            </w: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p>
        </w:tc>
        <w:tc>
          <w:tcPr>
            <w:tcW w:w="8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定性</w:t>
            </w:r>
          </w:p>
        </w:tc>
        <w:tc>
          <w:tcPr>
            <w:tcW w:w="13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每月5日前</w:t>
            </w:r>
          </w:p>
        </w:tc>
        <w:tc>
          <w:tcPr>
            <w:tcW w:w="33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1</w:t>
            </w:r>
          </w:p>
        </w:tc>
        <w:tc>
          <w:tcPr>
            <w:tcW w:w="57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0</w:t>
            </w:r>
          </w:p>
        </w:tc>
        <w:tc>
          <w:tcPr>
            <w:tcW w:w="155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100</w:t>
            </w:r>
          </w:p>
        </w:tc>
        <w:tc>
          <w:tcPr>
            <w:tcW w:w="5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20</w:t>
            </w:r>
          </w:p>
        </w:tc>
        <w:tc>
          <w:tcPr>
            <w:tcW w:w="432"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20</w:t>
            </w:r>
          </w:p>
        </w:tc>
        <w:tc>
          <w:tcPr>
            <w:tcW w:w="66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是</w:t>
            </w: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90" w:type="dxa"/>
          <w:trHeight w:val="687" w:hRule="atLeast"/>
          <w:jc w:val="center"/>
        </w:trPr>
        <w:tc>
          <w:tcPr>
            <w:tcW w:w="2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应急处置能力</w:t>
            </w: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p>
        </w:tc>
        <w:tc>
          <w:tcPr>
            <w:tcW w:w="8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定性</w:t>
            </w:r>
          </w:p>
        </w:tc>
        <w:tc>
          <w:tcPr>
            <w:tcW w:w="13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有所提升</w:t>
            </w:r>
          </w:p>
        </w:tc>
        <w:tc>
          <w:tcPr>
            <w:tcW w:w="33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1</w:t>
            </w:r>
          </w:p>
        </w:tc>
        <w:tc>
          <w:tcPr>
            <w:tcW w:w="57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0</w:t>
            </w:r>
          </w:p>
        </w:tc>
        <w:tc>
          <w:tcPr>
            <w:tcW w:w="155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100</w:t>
            </w:r>
          </w:p>
        </w:tc>
        <w:tc>
          <w:tcPr>
            <w:tcW w:w="5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20</w:t>
            </w:r>
          </w:p>
        </w:tc>
        <w:tc>
          <w:tcPr>
            <w:tcW w:w="432"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20</w:t>
            </w:r>
          </w:p>
        </w:tc>
        <w:tc>
          <w:tcPr>
            <w:tcW w:w="66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是</w:t>
            </w: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90" w:type="dxa"/>
          <w:trHeight w:val="523" w:hRule="atLeast"/>
          <w:jc w:val="center"/>
        </w:trPr>
        <w:tc>
          <w:tcPr>
            <w:tcW w:w="2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救援群众满意度</w:t>
            </w:r>
          </w:p>
        </w:tc>
        <w:tc>
          <w:tcPr>
            <w:tcW w:w="54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w:t>
            </w:r>
          </w:p>
        </w:tc>
        <w:tc>
          <w:tcPr>
            <w:tcW w:w="81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w:t>
            </w:r>
          </w:p>
        </w:tc>
        <w:tc>
          <w:tcPr>
            <w:tcW w:w="13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95</w:t>
            </w:r>
          </w:p>
        </w:tc>
        <w:tc>
          <w:tcPr>
            <w:tcW w:w="339"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95</w:t>
            </w:r>
          </w:p>
        </w:tc>
        <w:tc>
          <w:tcPr>
            <w:tcW w:w="57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0</w:t>
            </w:r>
          </w:p>
        </w:tc>
        <w:tc>
          <w:tcPr>
            <w:tcW w:w="1555"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100</w:t>
            </w:r>
          </w:p>
        </w:tc>
        <w:tc>
          <w:tcPr>
            <w:tcW w:w="50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bidi="ar-SA"/>
                <w14:textFill>
                  <w14:solidFill>
                    <w14:schemeClr w14:val="tx1"/>
                  </w14:solidFill>
                </w14:textFill>
              </w:rPr>
              <w:t>10</w:t>
            </w:r>
          </w:p>
        </w:tc>
        <w:tc>
          <w:tcPr>
            <w:tcW w:w="432"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t>10</w:t>
            </w:r>
          </w:p>
        </w:tc>
        <w:tc>
          <w:tcPr>
            <w:tcW w:w="66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pPr>
          </w:p>
        </w:tc>
        <w:tc>
          <w:tcPr>
            <w:tcW w:w="149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rPr>
                <w:rFonts w:hint="default" w:ascii="Times New Roman" w:hAnsi="Times New Roman" w:eastAsia="方正仿宋_GBK" w:cs="Times New Roman"/>
                <w:color w:val="000000" w:themeColor="text1"/>
                <w:kern w:val="0"/>
                <w:sz w:val="18"/>
                <w:szCs w:val="18"/>
                <w:lang w:val="en-US" w:eastAsia="zh-CN"/>
                <w14:textFill>
                  <w14:solidFill>
                    <w14:schemeClr w14:val="tx1"/>
                  </w14:solidFill>
                </w14:textFill>
              </w:rPr>
            </w:pPr>
          </w:p>
        </w:tc>
      </w:tr>
    </w:tbl>
    <w:p>
      <w:pPr>
        <w:keepNext w:val="0"/>
        <w:keepLines w:val="0"/>
        <w:widowControl/>
        <w:suppressLineNumbers w:val="0"/>
        <w:jc w:val="center"/>
        <w:rPr>
          <w:rFonts w:hint="default" w:ascii="Times New Roman" w:hAnsi="Times New Roman" w:eastAsia="方正书宋_GBK" w:cs="Times New Roman"/>
          <w:color w:val="000000" w:themeColor="text1"/>
          <w:sz w:val="32"/>
          <w:szCs w:val="32"/>
          <w:shd w:val="clear" w:color="auto" w:fill="FFFFFF"/>
          <w14:textFill>
            <w14:solidFill>
              <w14:schemeClr w14:val="tx1"/>
            </w14:solidFill>
          </w14:textFill>
        </w:rPr>
        <w:sectPr>
          <w:pgSz w:w="11915" w:h="16840"/>
          <w:pgMar w:top="1440" w:right="1800" w:bottom="1440" w:left="1800" w:header="851" w:footer="992" w:gutter="0"/>
          <w:pgNumType w:fmt="decimal"/>
          <w:cols w:space="720" w:num="1"/>
          <w:docGrid w:type="lines" w:linePitch="312" w:charSpace="0"/>
        </w:sectPr>
      </w:pPr>
    </w:p>
    <w:p>
      <w:pPr>
        <w:pStyle w:val="14"/>
        <w:autoSpaceDE w:val="0"/>
        <w:ind w:firstLine="960" w:firstLineChars="300"/>
        <w:jc w:val="center"/>
        <w:rPr>
          <w:rFonts w:hint="default" w:ascii="Times New Roman" w:hAnsi="Times New Roman" w:eastAsia="方正书宋_GBK" w:cs="Times New Roman"/>
          <w:color w:val="000000" w:themeColor="text1"/>
          <w:sz w:val="32"/>
          <w:szCs w:val="32"/>
          <w:shd w:val="clear" w:color="auto" w:fill="FFFFFF"/>
          <w14:textFill>
            <w14:solidFill>
              <w14:schemeClr w14:val="tx1"/>
            </w14:solidFill>
          </w14:textFill>
        </w:rPr>
      </w:pPr>
    </w:p>
    <w:p>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（三）财政绩效评价情况</w:t>
      </w:r>
    </w:p>
    <w:p>
      <w:pPr>
        <w:pStyle w:val="11"/>
        <w:keepNext w:val="0"/>
        <w:keepLines w:val="0"/>
        <w:pageBreakBefore w:val="0"/>
        <w:widowControl/>
        <w:kinsoku/>
        <w:wordWrap/>
        <w:overflowPunct/>
        <w:topLinePunct w:val="0"/>
        <w:autoSpaceDE w:val="0"/>
        <w:autoSpaceDN/>
        <w:bidi w:val="0"/>
        <w:adjustRightInd/>
        <w:spacing w:line="600" w:lineRule="exact"/>
        <w:ind w:firstLine="643"/>
        <w:textAlignment w:val="auto"/>
        <w:rPr>
          <w:rFonts w:hint="default" w:ascii="Times New Roman" w:hAnsi="Times New Roman" w:eastAsia="方正仿宋_GBK" w:cs="Times New Roman"/>
          <w:color w:val="000000" w:themeColor="text1"/>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lang w:val="en-US" w:eastAsia="zh-CN" w:bidi="ar-SA"/>
          <w14:textFill>
            <w14:solidFill>
              <w14:schemeClr w14:val="tx1"/>
            </w14:solidFill>
          </w14:textFill>
        </w:rPr>
        <w:t>县财政局未委托第三方对我</w:t>
      </w:r>
      <w:r>
        <w:rPr>
          <w:rFonts w:hint="eastAsia" w:ascii="Times New Roman" w:hAnsi="Times New Roman" w:eastAsia="方正仿宋_GBK" w:cs="Times New Roman"/>
          <w:color w:val="000000" w:themeColor="text1"/>
          <w:sz w:val="32"/>
          <w:szCs w:val="32"/>
          <w:shd w:val="clear" w:color="auto" w:fill="FFFFFF"/>
          <w:lang w:val="en-US" w:eastAsia="zh-CN" w:bidi="ar-SA"/>
          <w14:textFill>
            <w14:solidFill>
              <w14:schemeClr w14:val="tx1"/>
            </w14:solidFill>
          </w14:textFill>
        </w:rPr>
        <w:t>部门</w:t>
      </w:r>
      <w:r>
        <w:rPr>
          <w:rFonts w:hint="default" w:ascii="Times New Roman" w:hAnsi="Times New Roman" w:eastAsia="方正仿宋_GBK" w:cs="Times New Roman"/>
          <w:color w:val="000000" w:themeColor="text1"/>
          <w:sz w:val="32"/>
          <w:szCs w:val="32"/>
          <w:shd w:val="clear" w:color="auto" w:fill="FFFFFF"/>
          <w:lang w:val="en-US" w:eastAsia="zh-CN" w:bidi="ar-SA"/>
          <w14:textFill>
            <w14:solidFill>
              <w14:schemeClr w14:val="tx1"/>
            </w14:solidFill>
          </w14:textFill>
        </w:rPr>
        <w:t>开展绩效评价。</w:t>
      </w:r>
    </w:p>
    <w:p>
      <w:pPr>
        <w:pStyle w:val="6"/>
        <w:keepNext w:val="0"/>
        <w:keepLines w:val="0"/>
        <w:pageBreakBefore w:val="0"/>
        <w:widowControl/>
        <w:shd w:val="clear" w:color="auto" w:fill="FFFFFF"/>
        <w:kinsoku/>
        <w:wordWrap/>
        <w:overflowPunct/>
        <w:topLinePunct w:val="0"/>
        <w:autoSpaceDE/>
        <w:autoSpaceDN/>
        <w:bidi w:val="0"/>
        <w:adjustRightInd/>
        <w:spacing w:line="600" w:lineRule="exact"/>
        <w:textAlignment w:val="auto"/>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xml:space="preserve">  </w:t>
      </w:r>
      <w:r>
        <w:rPr>
          <w:rStyle w:val="10"/>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六、专业名词解释</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（一）财政拨款收入：</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（二）事业收入：</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（三）经营收入：</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（四）其他收入：</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（五）使用非财政拨款结余：</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（六）年初结转和结余：</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（七）结余分配：</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指单位按照国家有关规定，缴纳所得税、提取专用基金、转入非财政拨款结余等当年结余的分配情况。</w:t>
      </w:r>
    </w:p>
    <w:p>
      <w:pPr>
        <w:pStyle w:val="11"/>
        <w:autoSpaceDE w:val="0"/>
        <w:ind w:firstLine="643"/>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八）年末结转和结余：</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（九）基本支出：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（十）项目支出：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（十一）经营支出：</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（十二）“三公”经费：</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（十三）机关运行经费：</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（十四）工资福利支出（支出经济分类科目类级）：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 （十五）商品和服务支出（支出经济分类科目类级）：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楷体"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（十六）对个人和家庭的补助（支出经济分类科目类级）：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反映用于对个人和家庭的补助支出。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Style w:val="10"/>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 </w:t>
      </w:r>
      <w:r>
        <w:rPr>
          <w:rFonts w:hint="default" w:ascii="Times New Roman" w:hAnsi="Times New Roman" w:eastAsia="方正楷体_GBK" w:cs="Times New Roman"/>
          <w:b w:val="0"/>
          <w:bCs w:val="0"/>
          <w:color w:val="000000" w:themeColor="text1"/>
          <w:sz w:val="32"/>
          <w:szCs w:val="32"/>
          <w:shd w:val="clear" w:color="auto" w:fill="FFFFFF"/>
          <w:lang w:val="en-US" w:eastAsia="zh-CN" w:bidi="ar-SA"/>
          <w14:textFill>
            <w14:solidFill>
              <w14:schemeClr w14:val="tx1"/>
            </w14:solidFill>
          </w14:textFill>
        </w:rPr>
        <w:t>（十七）其他资本性支出（支出经济分类科目类级）：</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pPr>
      <w:r>
        <w:rPr>
          <w:rStyle w:val="10"/>
          <w:rFonts w:hint="default" w:ascii="Times New Roman" w:hAnsi="Times New Roman" w:eastAsia="方正黑体_GBK" w:cs="Times New Roman"/>
          <w:b w:val="0"/>
          <w:bCs/>
          <w:color w:val="000000" w:themeColor="text1"/>
          <w:sz w:val="32"/>
          <w:szCs w:val="32"/>
          <w:shd w:val="clear" w:color="auto" w:fill="FFFFFF"/>
          <w14:textFill>
            <w14:solidFill>
              <w14:schemeClr w14:val="tx1"/>
            </w14:solidFill>
          </w14:textFill>
        </w:rPr>
        <w:t>  七、决算公开联系方式及信息反馈渠道</w:t>
      </w:r>
    </w:p>
    <w:p>
      <w:pPr>
        <w:pStyle w:val="11"/>
        <w:autoSpaceDE w:val="0"/>
        <w:ind w:firstLine="0" w:firstLineChars="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本单位决算公开信息反馈和联系方式：</w:t>
      </w:r>
    </w:p>
    <w:p>
      <w:pPr>
        <w:pStyle w:val="12"/>
        <w:keepNext w:val="0"/>
        <w:keepLines w:val="0"/>
        <w:widowControl w:val="0"/>
        <w:suppressLineNumbers w:val="0"/>
        <w:autoSpaceDE w:val="0"/>
        <w:autoSpaceDN/>
        <w:spacing w:before="0" w:beforeAutospacing="0" w:line="600" w:lineRule="exact"/>
        <w:ind w:left="0" w:firstLine="640" w:firstLineChars="200"/>
        <w:jc w:val="both"/>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fill="FFFFFF"/>
          <w:lang w:val="en-US" w:eastAsia="zh-CN"/>
          <w14:textFill>
            <w14:solidFill>
              <w14:schemeClr w14:val="tx1"/>
            </w14:solidFill>
          </w14:textFill>
        </w:rPr>
        <w:t>罗婷</w:t>
      </w:r>
      <w:r>
        <w:rPr>
          <w:rFonts w:hint="default" w:ascii="Times New Roman" w:hAnsi="Times New Roman" w:eastAsia="方正仿宋_GBK" w:cs="Times New Roman"/>
          <w:color w:val="000000" w:themeColor="text1"/>
          <w:kern w:val="0"/>
          <w:sz w:val="32"/>
          <w:szCs w:val="32"/>
          <w:shd w:val="clear" w:fill="FFFFFF"/>
          <w14:textFill>
            <w14:solidFill>
              <w14:schemeClr w14:val="tx1"/>
            </w14:solidFill>
          </w14:textFill>
        </w:rPr>
        <w:t xml:space="preserve">   023-51522817</w:t>
      </w:r>
    </w:p>
    <w:p>
      <w:pPr>
        <w:pStyle w:val="11"/>
        <w:autoSpaceDE w:val="0"/>
        <w:ind w:firstLine="0" w:firstLineChars="0"/>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sectPr>
          <w:pgSz w:w="11915" w:h="16840"/>
          <w:pgMar w:top="1440" w:right="1800" w:bottom="1440" w:left="1800" w:header="851" w:footer="992" w:gutter="0"/>
          <w:pgNumType w:fmt="decimal"/>
          <w:cols w:space="720" w:num="1"/>
          <w:docGrid w:type="lines" w:linePitch="312" w:charSpace="0"/>
        </w:sectPr>
      </w:pPr>
    </w:p>
    <w:p>
      <w:pPr>
        <w:rPr>
          <w:rFonts w:hint="default" w:ascii="Times New Roman" w:hAnsi="Times New Roman" w:cs="Times New Roman"/>
          <w:color w:val="000000" w:themeColor="text1"/>
          <w:sz w:val="21"/>
          <w:szCs w:val="21"/>
          <w14:textFill>
            <w14:solidFill>
              <w14:schemeClr w14:val="tx1"/>
            </w14:solidFill>
          </w14:textFill>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20"/>
                <w:szCs w:val="20"/>
                <w14:textFill>
                  <w14:solidFill>
                    <w14:schemeClr w14:val="tx1"/>
                  </w14:solidFill>
                </w14:textFill>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22"/>
                <w:szCs w:val="22"/>
                <w14:textFill>
                  <w14:solidFill>
                    <w14:schemeClr w14:val="tx1"/>
                  </w14:solidFill>
                </w14:textFill>
              </w:rPr>
            </w:pPr>
            <w:r>
              <w:rPr>
                <w:rFonts w:cs="宋体"/>
                <w:sz w:val="20"/>
                <w:szCs w:val="20"/>
              </w:rPr>
              <w:t>公开部门：</w:t>
            </w:r>
            <w:r>
              <w:rPr>
                <w:sz w:val="20"/>
                <w:u w:color="auto"/>
              </w:rPr>
              <w:t>重庆市巫溪县应急管理局</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22"/>
                <w:szCs w:val="22"/>
                <w14:textFill>
                  <w14:solidFill>
                    <w14:schemeClr w14:val="tx1"/>
                  </w14:solidFill>
                </w14:textFill>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1,588.89</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152.55</w:t>
            </w: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38.59</w:t>
            </w: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45.30</w:t>
            </w:r>
            <w:r>
              <w:rPr>
                <w:rFonts w:hint="default" w:ascii="Times New Roman" w:hAnsi="Times New Roman" w:cs="Times New Roman"/>
                <w:color w:val="000000" w:themeColor="text1"/>
                <w:sz w:val="20"/>
                <w:u w:color="auto"/>
                <w14:textFill>
                  <w14:solidFill>
                    <w14:schemeClr w14:val="tx1"/>
                  </w14:solidFill>
                </w14:textFill>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62.76</w:t>
            </w: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1,289.68</w:t>
            </w: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themeColor="text1"/>
                <w:sz w:val="20"/>
                <w:szCs w:val="20"/>
                <w14:textFill>
                  <w14:solidFill>
                    <w14:schemeClr w14:val="tx1"/>
                  </w14:solidFill>
                </w14:textFill>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1,588.89</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1,588.89</w:t>
            </w: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1,588.89</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1,588.89</w:t>
            </w:r>
            <w:r>
              <w:rPr>
                <w:rFonts w:hint="default" w:ascii="Times New Roman" w:hAnsi="Times New Roman" w:cs="Times New Roman"/>
                <w:color w:val="000000" w:themeColor="text1"/>
                <w:sz w:val="20"/>
                <w:u w:color="auto"/>
                <w14:textFill>
                  <w14:solidFill>
                    <w14:schemeClr w14:val="tx1"/>
                  </w14:solidFill>
                </w14:textFill>
              </w:rPr>
              <w:t xml:space="preserve"> </w:t>
            </w:r>
          </w:p>
        </w:tc>
      </w:tr>
    </w:tbl>
    <w:p>
      <w:pPr>
        <w:spacing w:line="240" w:lineRule="exact"/>
        <w:rPr>
          <w:rFonts w:hint="default" w:ascii="Times New Roman" w:hAnsi="Times New Roman" w:cs="Times New Roman"/>
          <w:color w:val="000000" w:themeColor="text1"/>
          <w:sz w:val="20"/>
          <w:szCs w:val="20"/>
          <w14:textFill>
            <w14:solidFill>
              <w14:schemeClr w14:val="tx1"/>
            </w14:solidFill>
          </w14:textFill>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hint="default" w:ascii="Times New Roman" w:hAnsi="Times New Roman" w:cs="Times New Roman"/>
          <w:color w:val="000000" w:themeColor="text1"/>
          <w:sz w:val="20"/>
          <w:szCs w:val="20"/>
          <w14:textFill>
            <w14:solidFill>
              <w14:schemeClr w14:val="tx1"/>
            </w14:solidFill>
          </w14:textFill>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r>
              <w:rPr>
                <w:rFonts w:cs="宋体"/>
                <w:sz w:val="20"/>
                <w:szCs w:val="20"/>
              </w:rPr>
              <w:t>公开部门：</w:t>
            </w:r>
            <w:r>
              <w:rPr>
                <w:sz w:val="20"/>
                <w:u w:color="auto"/>
              </w:rPr>
              <w:t>重庆市巫溪县应急管理局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1,588.89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1,588.89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152.55</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152.55</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152.55</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152.55</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30.53</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30.53</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78.97</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78.97</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43.05</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43.05</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38.59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38.59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38.59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38.59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22.77</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22.77</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15.83</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15.83</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能源节约利用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2111001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能源节约利用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45.30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45.30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62.76</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62.76</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62.76</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62.76</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62.76</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62.76</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1,289.68</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1,289.68</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1,235.38</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1,235.38</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rPr>
          <w:trHeight w:val="348" w:hRule="atLeast"/>
        </w:trPr>
        <w:tc>
          <w:tcPr>
            <w:tcW w:w="55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2240101</w:t>
            </w:r>
          </w:p>
        </w:tc>
        <w:tc>
          <w:tcPr>
            <w:tcW w:w="103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506.12</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506.12</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416" w:hRule="atLeast"/>
        </w:trPr>
        <w:tc>
          <w:tcPr>
            <w:tcW w:w="5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2240108</w:t>
            </w:r>
          </w:p>
        </w:tc>
        <w:tc>
          <w:tcPr>
            <w:tcW w:w="10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应急救援</w:t>
            </w:r>
          </w:p>
        </w:tc>
        <w:tc>
          <w:tcPr>
            <w:tcW w:w="401"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175.82</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175.82</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2240109</w:t>
            </w:r>
          </w:p>
        </w:tc>
        <w:tc>
          <w:tcPr>
            <w:tcW w:w="103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应急管理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209.00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209.00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334.45</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334.45</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9.99</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9.99</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54.30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54.30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54.30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54.30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bl>
    <w:p>
      <w:pPr>
        <w:ind w:left="600" w:hanging="600" w:hangingChars="300"/>
        <w:rPr>
          <w:rFonts w:hint="default" w:ascii="Times New Roman" w:hAnsi="Times New Roman" w:cs="Times New Roman"/>
          <w:color w:val="000000" w:themeColor="text1"/>
          <w:sz w:val="20"/>
          <w:szCs w:val="20"/>
          <w14:textFill>
            <w14:solidFill>
              <w14:schemeClr w14:val="tx1"/>
            </w14:solidFill>
          </w14:textFill>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hint="default" w:ascii="Times New Roman" w:hAnsi="Times New Roman" w:cs="Times New Roman"/>
          <w:color w:val="000000" w:themeColor="text1"/>
          <w:sz w:val="20"/>
          <w:szCs w:val="20"/>
          <w14:textFill>
            <w14:solidFill>
              <w14:schemeClr w14:val="tx1"/>
            </w14:solidFill>
          </w14:textFill>
        </w:rPr>
        <w:br w:type="textWrapping"/>
      </w:r>
      <w:r>
        <w:rPr>
          <w:rFonts w:hint="default" w:ascii="Times New Roman" w:hAnsi="Times New Roman" w:cs="Times New Roman"/>
          <w:color w:val="000000" w:themeColor="text1"/>
          <w:sz w:val="20"/>
          <w:szCs w:val="20"/>
          <w14:textFill>
            <w14:solidFill>
              <w14:schemeClr w14:val="tx1"/>
            </w14:solidFill>
          </w14:textFill>
        </w:rPr>
        <w:br w:type="textWrapping"/>
      </w:r>
    </w:p>
    <w:p>
      <w:pP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r>
              <w:rPr>
                <w:rFonts w:cs="宋体"/>
                <w:sz w:val="20"/>
                <w:szCs w:val="20"/>
              </w:rPr>
              <w:t>公开部门</w:t>
            </w:r>
            <w:r>
              <w:rPr>
                <w:rFonts w:cs="宋体"/>
                <w:color w:val="000000"/>
                <w:sz w:val="20"/>
                <w:szCs w:val="20"/>
              </w:rPr>
              <w:t xml:space="preserve">： </w:t>
            </w:r>
            <w:r>
              <w:rPr>
                <w:color w:val="000000"/>
                <w:sz w:val="20"/>
                <w:u w:color="auto"/>
              </w:rPr>
              <w:t xml:space="preserve">重庆市巫溪县应急管理局 </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1,588.89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1,094.47</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494.42</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152.55</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152.55</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152.55</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152.55</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30.53</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30.53</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78.97</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78.97</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43.05</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43.05</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38.59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38.59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38.59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38.59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22.77</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22.77</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15.83</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15.83</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能源节约利用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2111001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能源节约利用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45.30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45.30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62.76</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62.76</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62.76</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62.76</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62.76</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62.76</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1,289.68</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840.57</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449.11</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22401</w:t>
            </w:r>
          </w:p>
        </w:tc>
        <w:tc>
          <w:tcPr>
            <w:tcW w:w="109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1,235.38</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840.57</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394.81</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2240101</w:t>
            </w:r>
          </w:p>
        </w:tc>
        <w:tc>
          <w:tcPr>
            <w:tcW w:w="10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行政运行</w:t>
            </w:r>
          </w:p>
        </w:tc>
        <w:tc>
          <w:tcPr>
            <w:tcW w:w="553"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506.12</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506.12</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2240108</w:t>
            </w:r>
          </w:p>
        </w:tc>
        <w:tc>
          <w:tcPr>
            <w:tcW w:w="109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应急救援</w:t>
            </w:r>
          </w:p>
        </w:tc>
        <w:tc>
          <w:tcPr>
            <w:tcW w:w="553"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175.82</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175.82</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2240109</w:t>
            </w:r>
          </w:p>
        </w:tc>
        <w:tc>
          <w:tcPr>
            <w:tcW w:w="109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应急管理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209.00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209.00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334.45</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334.45</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9.99</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9.99</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54.30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54.30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54.30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54.30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bl>
    <w:p>
      <w:pPr>
        <w:rPr>
          <w:rFonts w:hint="default" w:ascii="Times New Roman" w:hAnsi="Times New Roman" w:cs="Times New Roman"/>
          <w:color w:val="000000" w:themeColor="text1"/>
          <w:sz w:val="20"/>
          <w:szCs w:val="20"/>
          <w14:textFill>
            <w14:solidFill>
              <w14:schemeClr w14:val="tx1"/>
            </w14:solidFill>
          </w14:textFill>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hint="default" w:ascii="Times New Roman" w:hAnsi="Times New Roman" w:cs="Times New Roman"/>
          <w:color w:val="000000" w:themeColor="text1"/>
          <w:sz w:val="20"/>
          <w:szCs w:val="20"/>
          <w14:textFill>
            <w14:solidFill>
              <w14:schemeClr w14:val="tx1"/>
            </w14:solidFill>
          </w14:textFill>
        </w:rPr>
        <w:br w:type="textWrapping"/>
      </w:r>
      <w:r>
        <w:rPr>
          <w:rFonts w:hint="default" w:ascii="Times New Roman" w:hAnsi="Times New Roman" w:cs="Times New Roman"/>
          <w:color w:val="000000" w:themeColor="text1"/>
          <w:sz w:val="20"/>
          <w:szCs w:val="20"/>
          <w14:textFill>
            <w14:solidFill>
              <w14:schemeClr w14:val="tx1"/>
            </w14:solidFill>
          </w14:textFill>
        </w:rPr>
        <w:br w:type="textWrapping"/>
      </w:r>
    </w:p>
    <w:p>
      <w:pP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br w:type="page"/>
      </w:r>
    </w:p>
    <w:p>
      <w:pPr>
        <w:rPr>
          <w:rFonts w:hint="default" w:ascii="Times New Roman" w:hAnsi="Times New Roman" w:cs="Times New Roman"/>
          <w:color w:val="000000" w:themeColor="text1"/>
          <w:sz w:val="21"/>
          <w:szCs w:val="21"/>
          <w14:textFill>
            <w14:solidFill>
              <w14:schemeClr w14:val="tx1"/>
            </w14:solidFill>
          </w14:textFill>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r>
              <w:rPr>
                <w:rFonts w:cs="宋体"/>
                <w:sz w:val="20"/>
                <w:szCs w:val="20"/>
              </w:rPr>
              <w:t>公开部门</w:t>
            </w:r>
            <w:r>
              <w:rPr>
                <w:rFonts w:cs="宋体"/>
                <w:color w:val="000000"/>
                <w:sz w:val="20"/>
                <w:szCs w:val="20"/>
              </w:rPr>
              <w:t xml:space="preserve">： </w:t>
            </w:r>
            <w:r>
              <w:rPr>
                <w:color w:val="000000"/>
                <w:sz w:val="20"/>
                <w:u w:color="auto"/>
              </w:rPr>
              <w:t>重庆市巫溪县应急管理局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单位：万元</w:t>
            </w:r>
          </w:p>
        </w:tc>
      </w:tr>
      <w:tr>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支     出</w:t>
            </w:r>
          </w:p>
        </w:tc>
      </w:tr>
      <w:tr>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1,588.89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152.55</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152.55</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38.59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38.59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45.30</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45.30</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62.76</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62.76</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1,289.68</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1,289.68</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1,588.89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1,588.89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1,588.89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1,588.89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1,588.89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1,588.89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bl>
    <w:p>
      <w:pPr>
        <w:spacing w:line="240" w:lineRule="exact"/>
        <w:rPr>
          <w:rFonts w:hint="default" w:ascii="Times New Roman" w:hAnsi="Times New Roman" w:cs="Times New Roman"/>
          <w:color w:val="000000" w:themeColor="text1"/>
          <w:sz w:val="20"/>
          <w:szCs w:val="20"/>
          <w14:textFill>
            <w14:solidFill>
              <w14:schemeClr w14:val="tx1"/>
            </w14:solidFill>
          </w14:textFill>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hint="default" w:ascii="Times New Roman" w:hAnsi="Times New Roman" w:cs="Times New Roman"/>
          <w:color w:val="000000" w:themeColor="text1"/>
          <w:sz w:val="20"/>
          <w:szCs w:val="20"/>
          <w14:textFill>
            <w14:solidFill>
              <w14:schemeClr w14:val="tx1"/>
            </w14:solidFill>
          </w14:textFill>
        </w:rPr>
        <w:br w:type="textWrapping"/>
      </w:r>
      <w:r>
        <w:rPr>
          <w:rFonts w:hint="default" w:ascii="Times New Roman" w:hAnsi="Times New Roman" w:cs="Times New Roman"/>
          <w:color w:val="000000" w:themeColor="text1"/>
          <w:sz w:val="21"/>
          <w:szCs w:val="21"/>
          <w14:textFill>
            <w14:solidFill>
              <w14:schemeClr w14:val="tx1"/>
            </w14:solidFill>
          </w14:textFill>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r>
              <w:rPr>
                <w:rFonts w:cs="宋体"/>
                <w:sz w:val="20"/>
                <w:szCs w:val="20"/>
              </w:rPr>
              <w:t>公开部门</w:t>
            </w:r>
            <w:r>
              <w:rPr>
                <w:rFonts w:cs="宋体"/>
                <w:color w:val="000000"/>
                <w:sz w:val="20"/>
                <w:szCs w:val="20"/>
              </w:rPr>
              <w:t xml:space="preserve">： </w:t>
            </w:r>
            <w:r>
              <w:rPr>
                <w:color w:val="000000"/>
                <w:sz w:val="20"/>
                <w:u w:color="auto"/>
              </w:rPr>
              <w:t>重庆市巫溪县应急管理局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单位：万元</w:t>
            </w:r>
          </w:p>
        </w:tc>
      </w:tr>
      <w:tr>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1,588.89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1,094.47</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494.42</w:t>
            </w:r>
            <w:r>
              <w:rPr>
                <w:rFonts w:hint="default" w:ascii="Times New Roman" w:hAnsi="Times New Roman" w:cs="Times New Roman"/>
                <w:b/>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152.55</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152.55</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152.55</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152.55</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30.53</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30.53</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78.97</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78.97</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43.05</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43.05</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38.59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38.59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38.59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38.59</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22.77</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22.77</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15.83</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15.83</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45.30</w:t>
            </w:r>
            <w:r>
              <w:rPr>
                <w:rFonts w:hint="default" w:ascii="Times New Roman" w:hAnsi="Times New Roman" w:cs="Times New Roman"/>
                <w:b/>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21110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能源节约利用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45.30</w:t>
            </w:r>
            <w:r>
              <w:rPr>
                <w:rFonts w:hint="default" w:ascii="Times New Roman" w:hAnsi="Times New Roman" w:cs="Times New Roman"/>
                <w:b/>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2111001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能源节约利用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45.30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45.30</w:t>
            </w: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62.76</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62.76</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62.76</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62.76</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62.76</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62.76</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1,289.68</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840.57</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449.11</w:t>
            </w:r>
            <w:r>
              <w:rPr>
                <w:rFonts w:hint="default" w:ascii="Times New Roman" w:hAnsi="Times New Roman" w:cs="Times New Roman"/>
                <w:b/>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1,235.38</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840.57</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394.81</w:t>
            </w:r>
            <w:r>
              <w:rPr>
                <w:rFonts w:hint="default" w:ascii="Times New Roman" w:hAnsi="Times New Roman" w:cs="Times New Roman"/>
                <w:b/>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506.12</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506.12</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175.82</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175.82</w:t>
            </w: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应急管理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209.00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209.00</w:t>
            </w: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2240150</w:t>
            </w:r>
          </w:p>
        </w:tc>
        <w:tc>
          <w:tcPr>
            <w:tcW w:w="115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事业运行</w:t>
            </w:r>
          </w:p>
        </w:tc>
        <w:tc>
          <w:tcPr>
            <w:tcW w:w="107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334.45</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334.45</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2240199</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其他应急管理支出</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9.99</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9.99</w:t>
            </w:r>
            <w:r>
              <w:rPr>
                <w:rFonts w:hint="default" w:ascii="Times New Roman" w:hAnsi="Times New Roman" w:cs="Times New Roman"/>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22407</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自然灾害救灾及恢复重建支出</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54.30</w:t>
            </w: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54.30</w:t>
            </w:r>
            <w:r>
              <w:rPr>
                <w:rFonts w:hint="default" w:ascii="Times New Roman" w:hAnsi="Times New Roman" w:cs="Times New Roman"/>
                <w:b/>
                <w:color w:val="000000" w:themeColor="text1"/>
                <w:sz w:val="20"/>
                <w:u w:color="auto"/>
                <w14:textFill>
                  <w14:solidFill>
                    <w14:schemeClr w14:val="tx1"/>
                  </w14:solidFill>
                </w14:textFill>
              </w:rPr>
              <w:t xml:space="preserve"> </w:t>
            </w:r>
          </w:p>
        </w:tc>
      </w:tr>
      <w:tr>
        <w:tblPrEx>
          <w:tblCellMar>
            <w:top w:w="0" w:type="dxa"/>
            <w:left w:w="0" w:type="dxa"/>
            <w:bottom w:w="0" w:type="dxa"/>
            <w:right w:w="0" w:type="dxa"/>
          </w:tblCellMar>
        </w:tblPrEx>
        <w:trPr>
          <w:trHeight w:val="308" w:hRule="atLeast"/>
        </w:trPr>
        <w:tc>
          <w:tcPr>
            <w:tcW w:w="60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2240799</w:t>
            </w:r>
          </w:p>
        </w:tc>
        <w:tc>
          <w:tcPr>
            <w:tcW w:w="1154"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其他自然灾害救灾及恢复重建支出</w:t>
            </w:r>
          </w:p>
        </w:tc>
        <w:tc>
          <w:tcPr>
            <w:tcW w:w="107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54.30</w:t>
            </w: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7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u w:color="auto"/>
                <w14:textFill>
                  <w14:solidFill>
                    <w14:schemeClr w14:val="tx1"/>
                  </w14:solidFill>
                </w14:textFill>
              </w:rPr>
              <w:t xml:space="preserve"> </w:t>
            </w:r>
          </w:p>
        </w:tc>
        <w:tc>
          <w:tcPr>
            <w:tcW w:w="1084"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54.30</w:t>
            </w:r>
            <w:r>
              <w:rPr>
                <w:rFonts w:hint="default" w:ascii="Times New Roman" w:hAnsi="Times New Roman" w:cs="Times New Roman"/>
                <w:color w:val="000000" w:themeColor="text1"/>
                <w:sz w:val="20"/>
                <w:u w:color="auto"/>
                <w14:textFill>
                  <w14:solidFill>
                    <w14:schemeClr w14:val="tx1"/>
                  </w14:solidFill>
                </w14:textFill>
              </w:rPr>
              <w:t xml:space="preserve"> </w:t>
            </w:r>
          </w:p>
        </w:tc>
      </w:tr>
    </w:tbl>
    <w:p>
      <w:pPr>
        <w:rPr>
          <w:rFonts w:hint="default" w:ascii="Times New Roman" w:hAnsi="Times New Roman" w:cs="Times New Roman"/>
          <w:color w:val="000000" w:themeColor="text1"/>
          <w:sz w:val="21"/>
          <w:szCs w:val="21"/>
          <w14:textFill>
            <w14:solidFill>
              <w14:schemeClr w14:val="tx1"/>
            </w14:solidFill>
          </w14:textFill>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hint="default" w:ascii="Times New Roman" w:hAnsi="Times New Roman" w:cs="Times New Roman"/>
          <w:color w:val="000000" w:themeColor="text1"/>
          <w:sz w:val="20"/>
          <w:szCs w:val="20"/>
          <w14:textFill>
            <w14:solidFill>
              <w14:schemeClr w14:val="tx1"/>
            </w14:solidFill>
          </w14:textFill>
        </w:rPr>
        <w:br w:type="textWrapping"/>
      </w:r>
      <w:r>
        <w:rPr>
          <w:rFonts w:hint="default" w:ascii="Times New Roman" w:hAnsi="Times New Roman" w:cs="Times New Roman"/>
          <w:color w:val="000000" w:themeColor="text1"/>
          <w:sz w:val="20"/>
          <w:szCs w:val="20"/>
          <w14:textFill>
            <w14:solidFill>
              <w14:schemeClr w14:val="tx1"/>
            </w14:solidFill>
          </w14:textFill>
        </w:rPr>
        <w:br w:type="textWrapping"/>
      </w:r>
    </w:p>
    <w:p>
      <w:pPr>
        <w:ind w:firstLine="630" w:firstLineChars="3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r>
              <w:rPr>
                <w:rFonts w:cs="宋体"/>
                <w:sz w:val="20"/>
                <w:szCs w:val="20"/>
              </w:rPr>
              <w:t>公开部门</w:t>
            </w:r>
            <w:r>
              <w:rPr>
                <w:rFonts w:cs="宋体"/>
                <w:color w:val="000000"/>
                <w:sz w:val="20"/>
                <w:szCs w:val="20"/>
              </w:rPr>
              <w:t xml:space="preserve">： </w:t>
            </w:r>
            <w:r>
              <w:rPr>
                <w:color w:val="000000"/>
                <w:sz w:val="20"/>
                <w:u w:color="auto"/>
              </w:rPr>
              <w:t>重庆市巫溪县应急管理局</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公用经费</w:t>
            </w:r>
          </w:p>
        </w:tc>
      </w:tr>
      <w:tr>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918.59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146.18</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229.17</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16.51</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142.46</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136.15</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185.47</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0.68</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78.97</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11.07</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43.05</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6.66</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38.59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1.97</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9.72</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62.76</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9.99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29.70</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2.45</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0.86</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29.67</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5.79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1.43</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0.04</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2.46</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5.13</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15.37</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24.93</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30.03</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8"/>
                <w:szCs w:val="18"/>
                <w14:textFill>
                  <w14:solidFill>
                    <w14:schemeClr w14:val="tx1"/>
                  </w14:solidFill>
                </w14:textFill>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948.29</w:t>
            </w:r>
            <w:r>
              <w:rPr>
                <w:rFonts w:hint="default" w:ascii="Times New Roman" w:hAnsi="Times New Roman" w:cs="Times New Roman"/>
                <w:color w:val="000000" w:themeColor="text1"/>
                <w:sz w:val="18"/>
                <w:u w:color="auto"/>
                <w14:textFill>
                  <w14:solidFill>
                    <w14:schemeClr w14:val="tx1"/>
                  </w14:solidFill>
                </w14:textFill>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cs="Times New Roman"/>
                <w:color w:val="000000" w:themeColor="text1"/>
                <w:sz w:val="18"/>
                <w:szCs w:val="18"/>
                <w14:textFill>
                  <w14:solidFill>
                    <w14:schemeClr w14:val="tx1"/>
                  </w14:solidFill>
                </w14:textFill>
              </w:rPr>
              <w:t>146.18</w:t>
            </w:r>
            <w:r>
              <w:rPr>
                <w:rFonts w:hint="default" w:ascii="Times New Roman" w:hAnsi="Times New Roman" w:cs="Times New Roman"/>
                <w:color w:val="000000" w:themeColor="text1"/>
                <w:sz w:val="18"/>
                <w:u w:color="auto"/>
                <w14:textFill>
                  <w14:solidFill>
                    <w14:schemeClr w14:val="tx1"/>
                  </w14:solidFill>
                </w14:textFill>
              </w:rPr>
              <w:t xml:space="preserve"> </w:t>
            </w:r>
          </w:p>
        </w:tc>
      </w:tr>
    </w:tbl>
    <w:p>
      <w:pPr>
        <w:spacing w:line="280" w:lineRule="exact"/>
        <w:rPr>
          <w:rFonts w:hint="default" w:ascii="Times New Roman" w:hAnsi="Times New Roman" w:cs="Times New Roman"/>
          <w:color w:val="000000" w:themeColor="text1"/>
          <w:sz w:val="20"/>
          <w:szCs w:val="20"/>
          <w14:textFill>
            <w14:solidFill>
              <w14:schemeClr w14:val="tx1"/>
            </w14:solidFill>
          </w14:textFill>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hint="default" w:ascii="Times New Roman" w:hAnsi="Times New Roman" w:cs="Times New Roman"/>
          <w:color w:val="000000" w:themeColor="text1"/>
          <w:sz w:val="20"/>
          <w:szCs w:val="20"/>
          <w14:textFill>
            <w14:solidFill>
              <w14:schemeClr w14:val="tx1"/>
            </w14:solidFill>
          </w14:textFill>
        </w:rPr>
        <w:br w:type="textWrapping"/>
      </w:r>
      <w:r>
        <w:rPr>
          <w:rFonts w:hint="default" w:ascii="Times New Roman" w:hAnsi="Times New Roman" w:cs="Times New Roman"/>
          <w:color w:val="000000" w:themeColor="text1"/>
          <w:sz w:val="21"/>
          <w:szCs w:val="21"/>
          <w14:textFill>
            <w14:solidFill>
              <w14:schemeClr w14:val="tx1"/>
            </w14:solidFill>
          </w14:textFill>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r>
              <w:rPr>
                <w:rFonts w:cs="宋体"/>
                <w:sz w:val="20"/>
                <w:szCs w:val="20"/>
              </w:rPr>
              <w:t>公开部门</w:t>
            </w:r>
            <w:r>
              <w:rPr>
                <w:rFonts w:cs="宋体"/>
                <w:color w:val="000000"/>
                <w:sz w:val="20"/>
                <w:szCs w:val="20"/>
              </w:rPr>
              <w:t xml:space="preserve">： </w:t>
            </w:r>
            <w:r>
              <w:rPr>
                <w:color w:val="000000"/>
                <w:sz w:val="20"/>
                <w:u w:color="auto"/>
              </w:rPr>
              <w:t>重庆市巫溪县应急管理局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r>
    </w:tbl>
    <w:p>
      <w:pPr>
        <w:rPr>
          <w:rFonts w:hint="default" w:ascii="Times New Roman" w:hAnsi="Times New Roman" w:cs="Times New Roman"/>
          <w:color w:val="000000" w:themeColor="text1"/>
          <w:sz w:val="21"/>
          <w:szCs w:val="21"/>
          <w14:textFill>
            <w14:solidFill>
              <w14:schemeClr w14:val="tx1"/>
            </w14:solidFill>
          </w14:textFill>
        </w:rPr>
      </w:pPr>
      <w:r>
        <w:rPr>
          <w:rFonts w:cs="宋体"/>
          <w:sz w:val="20"/>
          <w:szCs w:val="20"/>
        </w:rPr>
        <w:t>备注：本表反映部门本年度政府性基金预算财政拨款收入支出及结转和结余情况。本部门无政府性基金收支，故本表无数据。</w:t>
      </w:r>
      <w:r>
        <w:rPr>
          <w:rFonts w:hint="default" w:ascii="Times New Roman" w:hAnsi="Times New Roman" w:cs="Times New Roman"/>
          <w:color w:val="000000" w:themeColor="text1"/>
          <w:sz w:val="20"/>
          <w:szCs w:val="20"/>
          <w14:textFill>
            <w14:solidFill>
              <w14:schemeClr w14:val="tx1"/>
            </w14:solidFill>
          </w14:textFill>
        </w:rPr>
        <w:br w:type="textWrapping"/>
      </w:r>
    </w:p>
    <w:p>
      <w:pPr>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r>
              <w:rPr>
                <w:rFonts w:cs="宋体"/>
                <w:sz w:val="20"/>
                <w:szCs w:val="20"/>
              </w:rPr>
              <w:t>公开部门</w:t>
            </w:r>
            <w:r>
              <w:rPr>
                <w:rFonts w:cs="宋体"/>
                <w:color w:val="000000"/>
                <w:sz w:val="20"/>
                <w:szCs w:val="20"/>
              </w:rPr>
              <w:t xml:space="preserve">： </w:t>
            </w:r>
            <w:r>
              <w:rPr>
                <w:color w:val="000000"/>
                <w:sz w:val="20"/>
                <w:u w:color="auto"/>
              </w:rPr>
              <w:t>重庆市巫溪县应急管理局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themeColor="text1"/>
                <w:sz w:val="20"/>
                <w:szCs w:val="20"/>
                <w14:textFill>
                  <w14:solidFill>
                    <w14:schemeClr w14:val="tx1"/>
                  </w14:solidFill>
                </w14:textFill>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themeColor="text1"/>
                <w:sz w:val="20"/>
                <w:szCs w:val="20"/>
                <w14:textFill>
                  <w14:solidFill>
                    <w14:schemeClr w14:val="tx1"/>
                  </w14:solidFill>
                </w14:textFill>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u w:color="auto"/>
                <w14:textFill>
                  <w14:solidFill>
                    <w14:schemeClr w14:val="tx1"/>
                  </w14:solidFill>
                </w14:textFill>
              </w:rPr>
              <w:t xml:space="preserve"> </w:t>
            </w:r>
          </w:p>
        </w:tc>
      </w:tr>
    </w:tbl>
    <w:p>
      <w:pPr>
        <w:rPr>
          <w:rFonts w:hint="default" w:ascii="Times New Roman" w:hAnsi="Times New Roman" w:cs="Times New Roman"/>
          <w:color w:val="000000" w:themeColor="text1"/>
          <w:sz w:val="21"/>
          <w:szCs w:val="21"/>
          <w14:textFill>
            <w14:solidFill>
              <w14:schemeClr w14:val="tx1"/>
            </w14:solidFill>
          </w14:textFill>
        </w:rPr>
      </w:pPr>
      <w:r>
        <w:rPr>
          <w:rFonts w:cs="宋体"/>
          <w:sz w:val="20"/>
          <w:szCs w:val="20"/>
        </w:rPr>
        <w:t>备注：本表反映部门本年度国有资本经营预算财政拨款支出情况。本部门无国有资本经营收支，故本表无数据。</w:t>
      </w:r>
      <w:r>
        <w:rPr>
          <w:rFonts w:hint="default" w:ascii="Times New Roman" w:hAnsi="Times New Roman" w:cs="Times New Roman"/>
          <w:color w:val="000000" w:themeColor="text1"/>
          <w:sz w:val="20"/>
          <w:szCs w:val="20"/>
          <w14:textFill>
            <w14:solidFill>
              <w14:schemeClr w14:val="tx1"/>
            </w14:solidFill>
          </w14:textFill>
        </w:rPr>
        <w:br w:type="textWrapping"/>
      </w:r>
      <w:r>
        <w:rPr>
          <w:rFonts w:hint="default" w:ascii="Times New Roman" w:hAnsi="Times New Roman" w:cs="Times New Roman"/>
          <w:color w:val="000000" w:themeColor="text1"/>
          <w:sz w:val="21"/>
          <w:szCs w:val="21"/>
          <w14:textFill>
            <w14:solidFill>
              <w14:schemeClr w14:val="tx1"/>
            </w14:solidFill>
          </w14:textFill>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 w:val="32"/>
                <w:szCs w:val="32"/>
                <w14:textFill>
                  <w14:solidFill>
                    <w14:schemeClr w14:val="tx1"/>
                  </w14:solidFill>
                </w14:textFill>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themeColor="text1"/>
                <w:sz w:val="20"/>
                <w:szCs w:val="20"/>
                <w14:textFill>
                  <w14:solidFill>
                    <w14:schemeClr w14:val="tx1"/>
                  </w14:solidFill>
                </w14:textFill>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themeColor="text1"/>
                <w:sz w:val="20"/>
                <w:szCs w:val="20"/>
                <w14:textFill>
                  <w14:solidFill>
                    <w14:schemeClr w14:val="tx1"/>
                  </w14:solidFill>
                </w14:textFill>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themeColor="text1"/>
                <w:sz w:val="20"/>
                <w:szCs w:val="20"/>
                <w14:textFill>
                  <w14:solidFill>
                    <w14:schemeClr w14:val="tx1"/>
                  </w14:solidFill>
                </w14:textFill>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themeColor="text1"/>
                <w:sz w:val="20"/>
                <w:szCs w:val="20"/>
                <w14:textFill>
                  <w14:solidFill>
                    <w14:schemeClr w14:val="tx1"/>
                  </w14:solidFill>
                </w14:textFill>
              </w:rPr>
            </w:pPr>
            <w:r>
              <w:rPr>
                <w:rFonts w:cs="宋体"/>
                <w:kern w:val="2"/>
                <w:sz w:val="20"/>
                <w:szCs w:val="20"/>
              </w:rPr>
              <w:t>公开部门</w:t>
            </w:r>
            <w:r>
              <w:rPr>
                <w:rFonts w:cs="宋体"/>
                <w:color w:val="000000"/>
                <w:kern w:val="2"/>
                <w:sz w:val="20"/>
                <w:szCs w:val="20"/>
              </w:rPr>
              <w:t xml:space="preserve">： </w:t>
            </w:r>
            <w:r>
              <w:rPr>
                <w:color w:val="000000"/>
                <w:sz w:val="20"/>
                <w:u w:color="auto"/>
              </w:rPr>
              <w:t>重庆市巫溪县应急管理局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themeColor="text1"/>
                <w:sz w:val="20"/>
                <w:szCs w:val="20"/>
                <w14:textFill>
                  <w14:solidFill>
                    <w14:schemeClr w14:val="tx1"/>
                  </w14:solidFill>
                </w14:textFill>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themeColor="text1"/>
                <w:sz w:val="20"/>
                <w:szCs w:val="20"/>
                <w14:textFill>
                  <w14:solidFill>
                    <w14:schemeClr w14:val="tx1"/>
                  </w14:solidFill>
                </w14:textFill>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单位：万元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6"/>
                <w:szCs w:val="16"/>
                <w14:textFill>
                  <w14:solidFill>
                    <w14:schemeClr w14:val="tx1"/>
                  </w14:solidFill>
                </w14:textFill>
              </w:rPr>
            </w:pPr>
            <w:r>
              <w:rPr>
                <w:rFonts w:hint="default" w:ascii="Times New Roman" w:hAnsi="Times New Roman" w:cs="Times New Roman"/>
                <w:b/>
                <w:color w:val="000000" w:themeColor="text1"/>
                <w:sz w:val="16"/>
                <w:szCs w:val="16"/>
                <w14:textFill>
                  <w14:solidFill>
                    <w14:schemeClr w14:val="tx1"/>
                  </w14:solidFill>
                </w14:textFill>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6"/>
                <w:szCs w:val="16"/>
                <w14:textFill>
                  <w14:solidFill>
                    <w14:schemeClr w14:val="tx1"/>
                  </w14:solidFill>
                </w14:textFill>
              </w:rPr>
            </w:pPr>
            <w:r>
              <w:rPr>
                <w:rFonts w:hint="default" w:ascii="Times New Roman" w:hAnsi="Times New Roman" w:cs="Times New Roman"/>
                <w:b/>
                <w:color w:val="000000" w:themeColor="text1"/>
                <w:sz w:val="16"/>
                <w:szCs w:val="16"/>
                <w14:textFill>
                  <w14:solidFill>
                    <w14:schemeClr w14:val="tx1"/>
                  </w14:solidFill>
                </w14:textFill>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6"/>
                <w:szCs w:val="16"/>
                <w14:textFill>
                  <w14:solidFill>
                    <w14:schemeClr w14:val="tx1"/>
                  </w14:solidFill>
                </w14:textFill>
              </w:rPr>
            </w:pPr>
            <w:r>
              <w:rPr>
                <w:rFonts w:hint="default" w:ascii="Times New Roman" w:hAnsi="Times New Roman" w:cs="Times New Roman"/>
                <w:b/>
                <w:color w:val="000000" w:themeColor="text1"/>
                <w:sz w:val="16"/>
                <w:szCs w:val="16"/>
                <w14:textFill>
                  <w14:solidFill>
                    <w14:schemeClr w14:val="tx1"/>
                  </w14:solidFill>
                </w14:textFill>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6"/>
                <w:szCs w:val="16"/>
                <w14:textFill>
                  <w14:solidFill>
                    <w14:schemeClr w14:val="tx1"/>
                  </w14:solidFill>
                </w14:textFill>
              </w:rPr>
            </w:pPr>
            <w:r>
              <w:rPr>
                <w:rFonts w:hint="default" w:ascii="Times New Roman" w:hAnsi="Times New Roman" w:cs="Times New Roman"/>
                <w:b/>
                <w:color w:val="000000" w:themeColor="text1"/>
                <w:sz w:val="16"/>
                <w:szCs w:val="16"/>
                <w14:textFill>
                  <w14:solidFill>
                    <w14:schemeClr w14:val="tx1"/>
                  </w14:solidFill>
                </w14:textFill>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themeColor="text1"/>
                <w:sz w:val="16"/>
                <w:szCs w:val="16"/>
                <w14:textFill>
                  <w14:solidFill>
                    <w14:schemeClr w14:val="tx1"/>
                  </w14:solidFill>
                </w14:textFill>
              </w:rPr>
            </w:pPr>
            <w:r>
              <w:rPr>
                <w:rFonts w:hint="default" w:ascii="Times New Roman" w:hAnsi="Times New Roman" w:cs="Times New Roman"/>
                <w:b/>
                <w:color w:val="000000" w:themeColor="text1"/>
                <w:sz w:val="16"/>
                <w:szCs w:val="16"/>
                <w14:textFill>
                  <w14:solidFill>
                    <w14:schemeClr w14:val="tx1"/>
                  </w14:solidFill>
                </w14:textFill>
              </w:rPr>
              <w:t>决算数</w:t>
            </w:r>
          </w:p>
        </w:tc>
      </w:tr>
      <w:tr>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146.18</w:t>
            </w:r>
            <w:r>
              <w:rPr>
                <w:rFonts w:hint="default" w:ascii="Times New Roman" w:hAnsi="Times New Roman" w:cs="Times New Roman"/>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21.16</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21.16</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146.18</w:t>
            </w:r>
            <w:r>
              <w:rPr>
                <w:rFonts w:hint="default" w:ascii="Times New Roman" w:hAnsi="Times New Roman" w:cs="Times New Roman"/>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15.37</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15.37</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4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15.37</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15.37</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5.79</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5.79</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5.79</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1</w:t>
            </w:r>
            <w:r>
              <w:rPr>
                <w:rFonts w:hint="default" w:ascii="Times New Roman" w:hAnsi="Times New Roman" w:cs="Times New Roman"/>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2</w:t>
            </w:r>
            <w:r>
              <w:rPr>
                <w:rFonts w:hint="default" w:ascii="Times New Roman" w:hAnsi="Times New Roman" w:cs="Times New Roman"/>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1</w:t>
            </w:r>
            <w:r>
              <w:rPr>
                <w:rFonts w:hint="default" w:ascii="Times New Roman" w:hAnsi="Times New Roman" w:cs="Times New Roman"/>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4</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142</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108.00</w:t>
            </w:r>
            <w:r>
              <w:rPr>
                <w:rFonts w:hint="default" w:ascii="Times New Roman" w:hAnsi="Times New Roman" w:cs="Times New Roman"/>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1,145</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108.00</w:t>
            </w:r>
            <w:r>
              <w:rPr>
                <w:rFonts w:hint="default" w:ascii="Times New Roman" w:hAnsi="Times New Roman" w:cs="Times New Roman"/>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u w:color="auto"/>
                <w14:textFill>
                  <w14:solidFill>
                    <w14:schemeClr w14:val="tx1"/>
                  </w14:solidFill>
                </w14:textFill>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2.47</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6"/>
                <w:szCs w:val="16"/>
                <w14:textFill>
                  <w14:solidFill>
                    <w14:schemeClr w14:val="tx1"/>
                  </w14:solidFill>
                </w14:textFill>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themeColor="text1"/>
                <w:sz w:val="16"/>
                <w:szCs w:val="16"/>
                <w14:textFill>
                  <w14:solidFill>
                    <w14:schemeClr w14:val="tx1"/>
                  </w14:solidFill>
                </w14:textFill>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14:textFill>
                  <w14:solidFill>
                    <w14:schemeClr w14:val="tx1"/>
                  </w14:solidFill>
                </w14:textFill>
              </w:rPr>
              <w:t>0.86</w:t>
            </w:r>
            <w:r>
              <w:rPr>
                <w:rFonts w:hint="default" w:ascii="Times New Roman" w:hAnsi="Times New Roman" w:cs="Times New Roman"/>
                <w:color w:val="000000" w:themeColor="text1"/>
                <w:sz w:val="16"/>
                <w:u w:color="auto"/>
                <w14:textFill>
                  <w14:solidFill>
                    <w14:schemeClr w14:val="tx1"/>
                  </w14:solidFill>
                </w14:textFill>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themeColor="text1"/>
                <w:sz w:val="16"/>
                <w:szCs w:val="16"/>
                <w14:textFill>
                  <w14:solidFill>
                    <w14:schemeClr w14:val="tx1"/>
                  </w14:solidFill>
                </w14:textFill>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themeColor="text1"/>
                <w:sz w:val="16"/>
                <w:szCs w:val="16"/>
                <w14:textFill>
                  <w14:solidFill>
                    <w14:schemeClr w14:val="tx1"/>
                  </w14:solidFill>
                </w14:textFill>
              </w:rPr>
            </w:pPr>
          </w:p>
        </w:tc>
      </w:tr>
    </w:tbl>
    <w:p>
      <w:pPr>
        <w:rPr>
          <w:rFonts w:hint="default" w:ascii="Times New Roman" w:hAnsi="Times New Roman" w:cs="Times New Roman"/>
          <w:color w:val="000000" w:themeColor="text1"/>
          <w:sz w:val="21"/>
          <w:szCs w:val="21"/>
          <w14:textFill>
            <w14:solidFill>
              <w14:schemeClr w14:val="tx1"/>
            </w14:solidFill>
          </w14:textFill>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bookmarkStart w:id="0" w:name="_GoBack"/>
      <w:bookmarkEnd w:id="0"/>
      <w:r>
        <w:rPr>
          <w:rFonts w:cs="宋体"/>
          <w:sz w:val="20"/>
          <w:szCs w:val="20"/>
        </w:rPr>
        <w:br w:type="textWrapping"/>
      </w:r>
      <w:r>
        <w:rPr>
          <w:rFonts w:hint="default" w:ascii="Times New Roman" w:hAnsi="Times New Roman" w:cs="Times New Roman"/>
          <w:color w:val="000000" w:themeColor="text1"/>
          <w:sz w:val="20"/>
          <w:szCs w:val="20"/>
          <w14:textFill>
            <w14:solidFill>
              <w14:schemeClr w14:val="tx1"/>
            </w14:solidFill>
          </w14:textFill>
        </w:rPr>
        <w:br w:type="textWrapping"/>
      </w:r>
      <w:r>
        <w:rPr>
          <w:rFonts w:hint="default" w:ascii="Times New Roman" w:hAnsi="Times New Roman" w:cs="Times New Roman"/>
          <w:color w:val="000000" w:themeColor="text1"/>
          <w:sz w:val="20"/>
          <w:szCs w:val="20"/>
          <w14:textFill>
            <w14:solidFill>
              <w14:schemeClr w14:val="tx1"/>
            </w14:solidFill>
          </w14:textFill>
        </w:rPr>
        <w:br w:type="textWrapping"/>
      </w:r>
    </w:p>
    <w:sectPr>
      <w:headerReference r:id="rId4" w:type="default"/>
      <w:footerReference r:id="rId5" w:type="default"/>
      <w:pgSz w:w="16839" w:h="11907"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19</w:t>
                          </w:r>
                          <w:r>
                            <w:rPr>
                              <w:rFonts w:hint="default"/>
                            </w:rPr>
                            <w:fldChar w:fldCharType="end"/>
                          </w:r>
                          <w:r>
                            <w:rPr>
                              <w:rFonts w:hint="default"/>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19</w:t>
                    </w:r>
                    <w:r>
                      <w:rPr>
                        <w:rFonts w:hint="default"/>
                      </w:rPr>
                      <w:fldChar w:fldCharType="end"/>
                    </w:r>
                    <w:r>
                      <w:rPr>
                        <w:rFonts w:hint="default"/>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F4941BC1"/>
    <w:multiLevelType w:val="singleLevel"/>
    <w:tmpl w:val="F4941BC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NTQzZTFiMTRjMTdjMDcxODIwYjU1NTc0NjMwYmU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0FA2CBA"/>
    <w:rsid w:val="01474EBF"/>
    <w:rsid w:val="01F3521E"/>
    <w:rsid w:val="03B87EA0"/>
    <w:rsid w:val="03D17DD3"/>
    <w:rsid w:val="03E3214F"/>
    <w:rsid w:val="044C50BA"/>
    <w:rsid w:val="04A511AD"/>
    <w:rsid w:val="05BC6D49"/>
    <w:rsid w:val="06194FF1"/>
    <w:rsid w:val="06A2550B"/>
    <w:rsid w:val="06F80EE2"/>
    <w:rsid w:val="07001CCA"/>
    <w:rsid w:val="07056973"/>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905CE0"/>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841D53"/>
    <w:rsid w:val="163A6CEE"/>
    <w:rsid w:val="16406F85"/>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EE1616"/>
    <w:rsid w:val="21556F04"/>
    <w:rsid w:val="22403BD3"/>
    <w:rsid w:val="23993283"/>
    <w:rsid w:val="23B92F92"/>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B9688F"/>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650059"/>
    <w:rsid w:val="348722E9"/>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49605B"/>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0F66ED"/>
    <w:rsid w:val="411B6CE5"/>
    <w:rsid w:val="412070D7"/>
    <w:rsid w:val="41314E40"/>
    <w:rsid w:val="41E0734B"/>
    <w:rsid w:val="426C1EA8"/>
    <w:rsid w:val="42736402"/>
    <w:rsid w:val="42E86A87"/>
    <w:rsid w:val="43307B09"/>
    <w:rsid w:val="439A3EB9"/>
    <w:rsid w:val="43BB152F"/>
    <w:rsid w:val="44863314"/>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C02BF"/>
    <w:rsid w:val="5C5D2777"/>
    <w:rsid w:val="5CF66BF3"/>
    <w:rsid w:val="5CFC024C"/>
    <w:rsid w:val="5D290C69"/>
    <w:rsid w:val="5EB5076D"/>
    <w:rsid w:val="5F2D4A41"/>
    <w:rsid w:val="60C74F6C"/>
    <w:rsid w:val="61025A59"/>
    <w:rsid w:val="613C2F36"/>
    <w:rsid w:val="613D5BBC"/>
    <w:rsid w:val="61536C39"/>
    <w:rsid w:val="62944DD7"/>
    <w:rsid w:val="6319381F"/>
    <w:rsid w:val="63401774"/>
    <w:rsid w:val="63C25DC5"/>
    <w:rsid w:val="63C62057"/>
    <w:rsid w:val="64571EF5"/>
    <w:rsid w:val="64FB113D"/>
    <w:rsid w:val="656152C6"/>
    <w:rsid w:val="6587477F"/>
    <w:rsid w:val="658C3A08"/>
    <w:rsid w:val="65BE57E6"/>
    <w:rsid w:val="65C031CA"/>
    <w:rsid w:val="65CE6852"/>
    <w:rsid w:val="66267C04"/>
    <w:rsid w:val="663F505A"/>
    <w:rsid w:val="66EE5541"/>
    <w:rsid w:val="67924660"/>
    <w:rsid w:val="67E21555"/>
    <w:rsid w:val="68407834"/>
    <w:rsid w:val="6883293E"/>
    <w:rsid w:val="688412AD"/>
    <w:rsid w:val="68D414CF"/>
    <w:rsid w:val="68EB1B71"/>
    <w:rsid w:val="6A6C7940"/>
    <w:rsid w:val="6AAD2300"/>
    <w:rsid w:val="6B28705B"/>
    <w:rsid w:val="6B474EF5"/>
    <w:rsid w:val="6BC13086"/>
    <w:rsid w:val="6C0575EC"/>
    <w:rsid w:val="6C0A5AC5"/>
    <w:rsid w:val="6C560CAE"/>
    <w:rsid w:val="6C576495"/>
    <w:rsid w:val="6D903FF5"/>
    <w:rsid w:val="6DA955B8"/>
    <w:rsid w:val="6DE346AB"/>
    <w:rsid w:val="6DE5391A"/>
    <w:rsid w:val="6EFD1324"/>
    <w:rsid w:val="6F5A53AC"/>
    <w:rsid w:val="6FAC003D"/>
    <w:rsid w:val="6FE55E12"/>
    <w:rsid w:val="6FFB2E76"/>
    <w:rsid w:val="708F6F7F"/>
    <w:rsid w:val="70D94BD3"/>
    <w:rsid w:val="717D5952"/>
    <w:rsid w:val="71C34D91"/>
    <w:rsid w:val="72DB435C"/>
    <w:rsid w:val="72E2613A"/>
    <w:rsid w:val="72F771F4"/>
    <w:rsid w:val="72FB78F6"/>
    <w:rsid w:val="73934AD2"/>
    <w:rsid w:val="750837F0"/>
    <w:rsid w:val="754758CF"/>
    <w:rsid w:val="764F62AB"/>
    <w:rsid w:val="765C45EC"/>
    <w:rsid w:val="766B4753"/>
    <w:rsid w:val="768A7619"/>
    <w:rsid w:val="772E1EBA"/>
    <w:rsid w:val="77DC5234"/>
    <w:rsid w:val="781926BC"/>
    <w:rsid w:val="796D60A4"/>
    <w:rsid w:val="79A031D5"/>
    <w:rsid w:val="79C33E1B"/>
    <w:rsid w:val="7A1525F7"/>
    <w:rsid w:val="7A6C2163"/>
    <w:rsid w:val="7B420052"/>
    <w:rsid w:val="7BD06A28"/>
    <w:rsid w:val="7C14759B"/>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_Style 3"/>
    <w:basedOn w:val="1"/>
    <w:qFormat/>
    <w:uiPriority w:val="0"/>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17">
    <w:name w:val="22"/>
    <w:basedOn w:val="9"/>
    <w:qFormat/>
    <w:uiPriority w:val="0"/>
    <w:rPr>
      <w:rFonts w:hint="default" w:ascii="Times New Roman" w:hAnsi="Times New Roman" w:cs="Times New Roman"/>
      <w:b/>
      <w:bCs/>
    </w:rPr>
  </w:style>
  <w:style w:type="paragraph" w:customStyle="1" w:styleId="18">
    <w:name w:val="List Paragraph"/>
    <w:basedOn w:val="1"/>
    <w:qFormat/>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4001</Words>
  <Characters>22811</Characters>
  <Lines>190</Lines>
  <Paragraphs>53</Paragraphs>
  <TotalTime>24</TotalTime>
  <ScaleCrop>false</ScaleCrop>
  <LinksUpToDate>false</LinksUpToDate>
  <CharactersWithSpaces>26759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2024-09-26T07:55:35Z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EBE411F347E44C5284618F051E161040</vt:lpwstr>
  </property>
</Properties>
</file>