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C8BE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巫溪县应急管理局</w:t>
      </w:r>
    </w:p>
    <w:p w14:paraId="551582E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2023年度决算公开说明</w:t>
      </w:r>
    </w:p>
    <w:p w14:paraId="0D18AC90">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right="0" w:rightChars="0"/>
        <w:jc w:val="both"/>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p>
    <w:p w14:paraId="2D58793B">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right="0" w:rightChars="0"/>
        <w:jc w:val="both"/>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一、</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部门</w:t>
      </w:r>
      <w:r>
        <w:rPr>
          <w:rFonts w:hint="default" w:ascii="Times New Roman" w:hAnsi="Times New Roman" w:eastAsia="方正黑体_GBK" w:cs="Times New Roman"/>
          <w:color w:val="000000" w:themeColor="text1"/>
          <w:kern w:val="0"/>
          <w:sz w:val="32"/>
          <w:szCs w:val="32"/>
          <w14:textFill>
            <w14:solidFill>
              <w14:schemeClr w14:val="tx1"/>
            </w14:solidFill>
          </w14:textFill>
        </w:rPr>
        <w:t>基本情况</w:t>
      </w:r>
    </w:p>
    <w:p w14:paraId="5C9E73B2">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（一）职能职责</w:t>
      </w:r>
    </w:p>
    <w:p w14:paraId="126702F7">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1.负责应急管理工作，指导各级各部门应对安全生产类、自然灾害类等突发事件和综合防灾减灾救灾工作。负责安全生产综合监督管理和工矿商贸行业安全生产监督管理工作。</w:t>
      </w:r>
    </w:p>
    <w:p w14:paraId="6B50403B">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2.贯彻执行应急管理、安全生产等政策规定，组织编制全县应急体系建设、安全生产和综合防灾减灾规划，监督相关行业实施安全生产法律法规、规程、标准。</w:t>
      </w:r>
    </w:p>
    <w:p w14:paraId="04FB9058">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3.负责应急预案体系建设，建立完善事故灾难和自然灾害分级应对制度，组织编制全县总体应急预案和安全生产类、自然灾害类专项预案，综合协调应急预案衔接工作，组织开展预案演练，推动应急避难设施建设。</w:t>
      </w:r>
    </w:p>
    <w:p w14:paraId="47494905">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4.牵头建立全县统一的应急管理信息系统，负责信息传输渠道的规划和布局，建立监测预警和灾情报告制度，健全自然灾害信息资源获取和共享机制，依法统一发布灾情。</w:t>
      </w:r>
    </w:p>
    <w:p w14:paraId="7AADBDDB">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5.组织指导协调安全生产类、自然灾害类等突发事件应急救援，承担县应对重大灾害指挥部工作，综合研判突发事件发展态势并提出应对建议，协助县委、县政府指定的负责同志组织重大灾害应急处置工作。</w:t>
      </w:r>
    </w:p>
    <w:p w14:paraId="105005BE">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6.统一协调指挥全县各类应急专业队伍，建立应急协调联动机制，推进指挥平台对接；衔接驻巫武警部队、人民武装部参与应急救援工作。</w:t>
      </w:r>
    </w:p>
    <w:p w14:paraId="489E4640">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7.统筹应急救援力量建设，负责消防、森林和草原火灾扑救、抗洪抢险、地震和地质灾害救援、生产安全事故救援等专业应急救援力量建设，负责县级综合性应急救援队伍业务建设、队伍建设的指导和管理的协调组织，指导乡镇（街道）、工业园区管委会、红池坝景区管委会及社会应急救援力量建设。</w:t>
      </w:r>
    </w:p>
    <w:p w14:paraId="14BFBCBC">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8.负责消防工作。指导消防监督、火灾预防、火灾扑救等工作。</w:t>
      </w:r>
    </w:p>
    <w:p w14:paraId="7473A041">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9.指导协调森林和草原火灾、水旱灾害、地震和地质灾害等防治工作，负责自然灾害综合监测预警工作，指导开展自然灾害综合风险评估工作。</w:t>
      </w:r>
    </w:p>
    <w:p w14:paraId="138F050A">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10.负责协调灾害救助工作，组织指导灾情核查、损失评估、救灾捐赠工作，管理、分配上级下拨及县级救灾款物并监督使用。</w:t>
      </w:r>
    </w:p>
    <w:p w14:paraId="162246F7">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11.依法行使全县安全生产综合监督管理职权，指导协调、监督检查乡镇（街道）、工业园区管委会、红池坝景区管委会和县政府有关部门安全生产工作，组织开展安全生产巡查、考核工作。承担县安全生产委员会办公室日常工作。</w:t>
      </w:r>
    </w:p>
    <w:p w14:paraId="36D68557">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12.按照分级、属地原则，依法监督检查非煤矿山和烟花爆竹安全生产监督管理工作，负责工商贸行业监督管理和危险化学品安全监督综合管理工作，依法组织并指导行业部门实施安全生产准入制度。</w:t>
      </w:r>
    </w:p>
    <w:p w14:paraId="7D728429">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13.负责煤矿执法监督、应急救援管理、统计分析、宣传教育培训等综合性工作，按安全生产法规标准和政策规划组织实施，协助事故调查处理，承担职责范围内煤矿安全生产监管执法职责。</w:t>
      </w:r>
    </w:p>
    <w:p w14:paraId="21BD798F">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14.依法组织开展生产安全事故调查处理，监督事故查处和责任追究落实情况。组织开展自然灾害类突发事件的调查评估工作。</w:t>
      </w:r>
    </w:p>
    <w:p w14:paraId="1270B928">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15.开展应急管理方面的交流与合作，组织参与安全生产类、自然灾害类等突发事件的跨区域救援工作。</w:t>
      </w:r>
    </w:p>
    <w:p w14:paraId="06503066">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16.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14:paraId="24D45268">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17.负责应急管理、安全生产宣传教育和培训工作，组织指导应急管理、安全生产科学技术的推广应用和信息化建设工作。</w:t>
      </w:r>
    </w:p>
    <w:p w14:paraId="3A4E04BA">
      <w:pPr>
        <w:pStyle w:val="12"/>
        <w:keepNext w:val="0"/>
        <w:keepLines w:val="0"/>
        <w:pageBreakBefore w:val="0"/>
        <w:widowControl w:val="0"/>
        <w:suppressLineNumbers w:val="0"/>
        <w:kinsoku/>
        <w:wordWrap/>
        <w:topLinePunct w:val="0"/>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18.完成县委、县政府交办的其他任务。</w:t>
      </w:r>
    </w:p>
    <w:p w14:paraId="15FF6557">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（二）机构设置</w:t>
      </w:r>
    </w:p>
    <w:p w14:paraId="42742301">
      <w:pPr>
        <w:keepNext w:val="0"/>
        <w:keepLines w:val="0"/>
        <w:pageBreakBefore w:val="0"/>
        <w:numPr>
          <w:ilvl w:val="0"/>
          <w:numId w:val="0"/>
        </w:numPr>
        <w:kinsoku/>
        <w:wordWrap/>
        <w:topLinePunct w:val="0"/>
        <w:autoSpaceDN/>
        <w:bidi w:val="0"/>
        <w:adjustRightInd/>
        <w:snapToGrid w:val="0"/>
        <w:spacing w:beforeAutospacing="0" w:line="600"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巫溪县应急管理局为政府组成部门，下设</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7个内设机构，下属2个事业单位及1个综合应急救援队。包括</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管理综合</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行政执法支队、巫溪县应急救援指挥中心和巫溪县综合应急救援队。</w:t>
      </w:r>
    </w:p>
    <w:p w14:paraId="59BAEFAF">
      <w:pPr>
        <w:pStyle w:val="16"/>
        <w:keepNext w:val="0"/>
        <w:keepLines w:val="0"/>
        <w:pageBreakBefore w:val="0"/>
        <w:widowControl w:val="0"/>
        <w:suppressLineNumbers w:val="0"/>
        <w:kinsoku/>
        <w:wordWrap/>
        <w:overflowPunct w:val="0"/>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14:textFill>
            <w14:solidFill>
              <w14:schemeClr w14:val="tx1"/>
            </w14:solidFill>
          </w14:textFill>
        </w:rPr>
      </w:pP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巫溪县应急管理局现有编制</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55名，购买服务30名。其中事业编制27名、参公编制14名、行政编制14名。现有在岗</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职工</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83人，其中事业26人，较2022年20人增加6人；主要原因为新招录6人。参公11人较2022年9人增加2人；主要原因为调进1人，新招录1人。行政14人，较2022年15人减少1人；主要原因为退休1人。临聘人员2人，购买服务30人。</w:t>
      </w:r>
    </w:p>
    <w:p w14:paraId="48811949">
      <w:pPr>
        <w:pStyle w:val="6"/>
        <w:keepNext w:val="0"/>
        <w:keepLines w:val="0"/>
        <w:pageBreakBefore w:val="0"/>
        <w:shd w:val="clear" w:color="auto" w:fill="FFFFFF"/>
        <w:kinsoku/>
        <w:wordWrap/>
        <w:topLinePunct w:val="0"/>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二、</w:t>
      </w:r>
      <w:r>
        <w:rPr>
          <w:rStyle w:val="10"/>
          <w:rFonts w:hint="eastAsia" w:ascii="Times New Roman" w:hAnsi="Times New Roman" w:eastAsia="方正黑体_GBK" w:cs="Times New Roman"/>
          <w:b w:val="0"/>
          <w:bCs/>
          <w:color w:val="000000" w:themeColor="text1"/>
          <w:sz w:val="32"/>
          <w:szCs w:val="32"/>
          <w:shd w:val="clear" w:color="auto" w:fill="FFFFFF"/>
          <w:lang w:val="en-US" w:eastAsia="zh-CN"/>
          <w14:textFill>
            <w14:solidFill>
              <w14:schemeClr w14:val="tx1"/>
            </w14:solidFill>
          </w14:textFill>
        </w:rPr>
        <w:t>部门</w:t>
      </w: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决算情况说明</w:t>
      </w:r>
    </w:p>
    <w:p w14:paraId="69EE0DEE">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（一）收入支出决算总体情况说明。</w:t>
      </w:r>
    </w:p>
    <w:p w14:paraId="77AA614A">
      <w:pPr>
        <w:pStyle w:val="6"/>
        <w:keepNext w:val="0"/>
        <w:keepLines w:val="0"/>
        <w:pageBreakBefore w:val="0"/>
        <w:shd w:val="clear" w:color="auto" w:fill="FFFFFF"/>
        <w:kinsoku/>
        <w:wordWrap/>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2023年度收入总计1588.89万元，支出总计</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万元。收支较上年决算数减少427.44万元，下降21.2%，主要原因是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2023年社会保障和就业支出增加19.76万元，卫生健康支出减少98.59万元，节能环保支出减少84.96万元，城乡社区支出减少76.96万元，住房保障支出增加15.79万元，灾害防治及应急管理支出减少202.49万元。</w:t>
      </w:r>
    </w:p>
    <w:p w14:paraId="47A44C74">
      <w:pPr>
        <w:pStyle w:val="6"/>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2023年度收入合计1588.89万元，较上年决算数减少298.71万元，下降15.8%，主要原因是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卫生健康收入减少98.59万元，灾害防治及应急管理收入减少150.73万元，其他收入减少49.39万元。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万元，占0.0%；经营收入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万元，占0.0%；其他收入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万元，占0.0%。此外，使用非财政拨款结余和专用结余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14:paraId="46FFFC87">
      <w:pPr>
        <w:pStyle w:val="6"/>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2023年度支出合计</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万元，较上年决算数减少427.44万元，下降21.2%，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主要原因是2023年社会保障和就业支出增加19.76万元，卫生健康支出减少98.59万元，节能环保支出减少84.96万元，城乡社区支出减少76.96万元，住房保障支出增加15.79万元，灾害防治及应急管理支出减少202.49万元。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s="Times New Roman"/>
          <w:color w:val="000000" w:themeColor="text1"/>
          <w:sz w:val="32"/>
          <w:szCs w:val="32"/>
          <w14:textFill>
            <w14:solidFill>
              <w14:schemeClr w14:val="tx1"/>
            </w14:solidFill>
          </w14:textFill>
        </w:rPr>
        <w:t>1094.47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万元，占68.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%；项目支出</w:t>
      </w:r>
      <w:r>
        <w:rPr>
          <w:rFonts w:hint="default" w:ascii="Times New Roman" w:hAnsi="Times New Roman" w:eastAsia="方正仿宋_GBK" w:cs="Times New Roman"/>
          <w:color w:val="000000" w:themeColor="text1"/>
          <w:sz w:val="32"/>
          <w:szCs w:val="32"/>
          <w14:textFill>
            <w14:solidFill>
              <w14:schemeClr w14:val="tx1"/>
            </w14:solidFill>
          </w14:textFill>
        </w:rPr>
        <w:t>494.42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万元，占31.1%；经营支出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万元，占0.0%。此外，结余分配</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14:paraId="479D94B3">
      <w:pPr>
        <w:pStyle w:val="12"/>
        <w:keepNext w:val="0"/>
        <w:keepLines w:val="0"/>
        <w:pageBreakBefore w:val="0"/>
        <w:widowControl w:val="0"/>
        <w:suppressLineNumbers w:val="0"/>
        <w:kinsoku/>
        <w:wordWrap/>
        <w:overflowPunct/>
        <w:topLinePunct/>
        <w:autoSpaceDE w:val="0"/>
        <w:autoSpaceDN/>
        <w:bidi w:val="0"/>
        <w:adjustRightInd/>
        <w:spacing w:before="0" w:before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0"/>
          <w:sz w:val="32"/>
          <w:szCs w:val="32"/>
          <w:shd w:val="clear"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t>4.结转结余情况。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万元，较上年决算数无增减，主要原因是</w:t>
      </w:r>
      <w:r>
        <w:rPr>
          <w:rStyle w:val="17"/>
          <w:rFonts w:hint="default" w:ascii="Times New Roman" w:hAnsi="Times New Roman" w:eastAsia="方正仿宋_GBK" w:cs="Times New Roman"/>
          <w:b w:val="0"/>
          <w:bCs w:val="0"/>
          <w:color w:val="000000" w:themeColor="text1"/>
          <w:sz w:val="32"/>
          <w:szCs w:val="32"/>
          <w:shd w:val="clear" w:fill="FFFFFF"/>
          <w14:textFill>
            <w14:solidFill>
              <w14:schemeClr w14:val="tx1"/>
            </w14:solidFill>
          </w14:textFill>
        </w:rPr>
        <w:t>实行零结转</w:t>
      </w:r>
      <w:r>
        <w:rPr>
          <w:rStyle w:val="17"/>
          <w:rFonts w:hint="default" w:ascii="Times New Roman" w:hAnsi="Times New Roman" w:eastAsia="方正仿宋_GBK" w:cs="Times New Roman"/>
          <w:b w:val="0"/>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无结转资金</w:t>
      </w:r>
      <w:r>
        <w:rPr>
          <w:rStyle w:val="17"/>
          <w:rFonts w:hint="default" w:ascii="Times New Roman" w:hAnsi="Times New Roman" w:eastAsia="方正仿宋_GBK" w:cs="Times New Roman"/>
          <w:b w:val="0"/>
          <w:bCs w:val="0"/>
          <w:color w:val="000000" w:themeColor="text1"/>
          <w:sz w:val="32"/>
          <w:szCs w:val="32"/>
          <w:shd w:val="clear" w:fill="FFFFFF"/>
          <w14:textFill>
            <w14:solidFill>
              <w14:schemeClr w14:val="tx1"/>
            </w14:solidFill>
          </w14:textFill>
        </w:rPr>
        <w:t>。</w:t>
      </w:r>
    </w:p>
    <w:p w14:paraId="63C984F6">
      <w:pPr>
        <w:keepNext w:val="0"/>
        <w:keepLines w:val="0"/>
        <w:pageBreakBefore w:val="0"/>
        <w:widowControl w:val="0"/>
        <w:suppressLineNumbers w:val="0"/>
        <w:kinsoku/>
        <w:wordWrap/>
        <w:overflowPunct/>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（二）财政拨款收入支出决算总体情况说明</w:t>
      </w:r>
    </w:p>
    <w:p w14:paraId="2E366D7D">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2023年度财政拨款收、支总计1588.89万元。与2022年相比，财政拨款收、支总计各减少427.44万元，下降21.2%。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主要原因是2023年社会保障和就业支出增加19.76万元，卫生健康支出减少98.59万元，节能环保支出减少84.96万元，城乡社区支出减少76.96万元，住房保障支出增加15.79万元，灾害防治及应急管理支出减少202.49万元。</w:t>
      </w:r>
    </w:p>
    <w:p w14:paraId="634033CF">
      <w:pPr>
        <w:pStyle w:val="11"/>
        <w:keepNext w:val="0"/>
        <w:keepLines w:val="0"/>
        <w:pageBreakBefore w:val="0"/>
        <w:kinsoku/>
        <w:wordWrap/>
        <w:overflowPunct/>
        <w:autoSpaceDE w:val="0"/>
        <w:autoSpaceDN/>
        <w:bidi w:val="0"/>
        <w:adjustRightInd/>
        <w:spacing w:beforeAutospacing="0" w:line="600" w:lineRule="exact"/>
        <w:ind w:firstLine="643"/>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（三）一般公共预算财政拨款收入支出决算情况说明</w:t>
      </w:r>
    </w:p>
    <w:p w14:paraId="6EAA43DE">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万元，较上年决算数减少298.71万元，下降15.8%。主要原因是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卫生健康收入减少98.59万元，灾害防治及应急管理收入减少150.73万元，其他收入减少49.39万元。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较年初预算数增加54.47万元，增长3.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14:paraId="6B626EE4">
      <w:pPr>
        <w:pStyle w:val="6"/>
        <w:keepNext w:val="0"/>
        <w:keepLines w:val="0"/>
        <w:pageBreakBefore w:val="0"/>
        <w:shd w:val="clear" w:color="auto" w:fill="FFFFFF"/>
        <w:kinsoku/>
        <w:wordWrap/>
        <w:overflowPunct/>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万元，较上年决算数减少350.48万元，下降18.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bookmarkStart w:id="0" w:name="_GoBack"/>
      <w:bookmarkEnd w:id="0"/>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2023年社会保障和就业支出增加19.76万元，卫生健康支出减少98.59万元，节能环保支出减少84.96万元，住房保障支出增加15.79万元，灾害防治及应急管理支出减少202.49万元。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较年初预算数增加54.47万元，增长3.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5576498D">
      <w:pPr>
        <w:pStyle w:val="12"/>
        <w:keepNext w:val="0"/>
        <w:keepLines w:val="0"/>
        <w:pageBreakBefore w:val="0"/>
        <w:widowControl w:val="0"/>
        <w:suppressLineNumbers w:val="0"/>
        <w:kinsoku/>
        <w:wordWrap/>
        <w:overflowPunct/>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2023年度年末一般公共预算财政拨款结转和结余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202</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年实行零结转，本</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无结转资金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6B5B87C4">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4.比较情况。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2023年度一般公共预算财政拨款支出主要用于以下几个方面：</w:t>
      </w:r>
    </w:p>
    <w:p w14:paraId="54531EFB">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）社会保障与就业支出</w:t>
      </w:r>
      <w:r>
        <w:rPr>
          <w:rFonts w:hint="default" w:ascii="Times New Roman" w:hAnsi="Times New Roman" w:eastAsia="方正仿宋_GBK" w:cs="Times New Roman"/>
          <w:color w:val="000000" w:themeColor="text1"/>
          <w:sz w:val="32"/>
          <w:szCs w:val="32"/>
          <w14:textFill>
            <w14:solidFill>
              <w14:schemeClr w14:val="tx1"/>
            </w14:solidFill>
          </w14:textFill>
        </w:rPr>
        <w:t>152.55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9.6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%，较年初预算数增加16.57万元，增长12.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164CEEA6">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s="Times New Roman"/>
          <w:color w:val="000000" w:themeColor="text1"/>
          <w:sz w:val="32"/>
          <w:szCs w:val="32"/>
          <w14:textFill>
            <w14:solidFill>
              <w14:schemeClr w14:val="tx1"/>
            </w14:solidFill>
          </w14:textFill>
        </w:rPr>
        <w:t>38.59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与上年持平</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14:paraId="47095A80">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）节能环保支出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45.3</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%，较年初预算数增加45.3万元，增长100.0%，主要原因是</w:t>
      </w:r>
      <w:r>
        <w:rPr>
          <w:rFonts w:hint="default" w:ascii="Times New Roman" w:hAnsi="Times New Roman" w:eastAsia="方正仿宋_GBK" w:cs="Times New Roman"/>
          <w:color w:val="000000" w:themeColor="text1"/>
          <w:kern w:val="0"/>
          <w:sz w:val="32"/>
          <w:szCs w:val="32"/>
          <w:highlight w:val="none"/>
          <w:shd w:val="clear" w:fill="FFFFFF"/>
          <w14:textFill>
            <w14:solidFill>
              <w14:schemeClr w14:val="tx1"/>
            </w14:solidFill>
          </w14:textFill>
        </w:rPr>
        <w:t>追加</w:t>
      </w:r>
      <w:r>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t>双安煤矿奖补</w:t>
      </w:r>
      <w:r>
        <w:rPr>
          <w:rFonts w:hint="default" w:ascii="Times New Roman" w:hAnsi="Times New Roman" w:eastAsia="方正仿宋_GBK" w:cs="Times New Roman"/>
          <w:color w:val="000000" w:themeColor="text1"/>
          <w:kern w:val="0"/>
          <w:sz w:val="32"/>
          <w:szCs w:val="32"/>
          <w:highlight w:val="none"/>
          <w:shd w:val="clear" w:fill="FFFFFF"/>
          <w14:textFill>
            <w14:solidFill>
              <w14:schemeClr w14:val="tx1"/>
            </w14:solidFill>
          </w14:textFill>
        </w:rPr>
        <w:t>资金预算。</w:t>
      </w:r>
    </w:p>
    <w:p w14:paraId="006B8F7C">
      <w:pPr>
        <w:keepNext w:val="0"/>
        <w:keepLines w:val="0"/>
        <w:pageBreakBefore w:val="0"/>
        <w:kinsoku/>
        <w:wordWrap/>
        <w:overflowPunct/>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住房保障支出62.76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与上年持平</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14:paraId="29ED2807">
      <w:pPr>
        <w:keepNext w:val="0"/>
        <w:keepLines w:val="0"/>
        <w:pageBreakBefore w:val="0"/>
        <w:kinsoku/>
        <w:wordWrap/>
        <w:overflowPunct/>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灾害防治及应急管理支出1289.68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%，较年初预算数减少7.42万元，下降0.</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响应“过紧日子”政策减少部分其他应急管理支出。</w:t>
      </w:r>
    </w:p>
    <w:p w14:paraId="7836F723">
      <w:pPr>
        <w:keepNext w:val="0"/>
        <w:keepLines w:val="0"/>
        <w:pageBreakBefore w:val="0"/>
        <w:widowControl w:val="0"/>
        <w:suppressLineNumbers w:val="0"/>
        <w:kinsoku/>
        <w:wordWrap/>
        <w:overflowPunct/>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（四）一般公共预算财政拨款基本支出决算情况说明</w:t>
      </w:r>
    </w:p>
    <w:p w14:paraId="0173CB12">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2023年度一般公共财政拨款基本支出</w:t>
      </w:r>
      <w:r>
        <w:rPr>
          <w:rFonts w:hint="default" w:ascii="Times New Roman" w:hAnsi="Times New Roman" w:eastAsia="方正仿宋_GBK" w:cs="Times New Roman"/>
          <w:color w:val="000000" w:themeColor="text1"/>
          <w:sz w:val="32"/>
          <w:szCs w:val="32"/>
          <w14:textFill>
            <w14:solidFill>
              <w14:schemeClr w14:val="tx1"/>
            </w14:solidFill>
          </w14:textFill>
        </w:rPr>
        <w:t>1094.47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s="Times New Roman"/>
          <w:color w:val="000000" w:themeColor="text1"/>
          <w:sz w:val="32"/>
          <w:szCs w:val="32"/>
          <w14:textFill>
            <w14:solidFill>
              <w14:schemeClr w14:val="tx1"/>
            </w14:solidFill>
          </w14:textFill>
        </w:rPr>
        <w:t>948.29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万元，较上年决算数增加68.17万元，增长7.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。人员经费用途主要包括</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基本工资、津贴补贴、奖金、社会保障缴费等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s="Times New Roman"/>
          <w:color w:val="000000" w:themeColor="text1"/>
          <w:sz w:val="32"/>
          <w:szCs w:val="32"/>
          <w14:textFill>
            <w14:solidFill>
              <w14:schemeClr w14:val="tx1"/>
            </w14:solidFill>
          </w14:textFill>
        </w:rPr>
        <w:t>146.18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万元，较上年决算数减少199.1万元，下降57.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一方面</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认真贯彻落实中央八项规定精神</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积极响应“过紧日子”政策，压缩减少部分支出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另一方面是2022年决算时部分项目支出纳入了机关运行费用，2023年按预算项目分类纳入了项目支出，2023年机关运行经费减少。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公用经费用途主要包括</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办公费、印刷费、电费、水费、邮电费、差旅费、公务接待费、会议费、维护费、公务用车和其他交通费用。</w:t>
      </w:r>
    </w:p>
    <w:p w14:paraId="56763641">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（五）政府性基金预算收支决算情况说明</w:t>
      </w:r>
    </w:p>
    <w:p w14:paraId="62CD9CEC">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2023年度无政府性基金预算财政拨款收支。</w:t>
      </w:r>
    </w:p>
    <w:p w14:paraId="0ABEF924">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（六）国有资本经营预算财政拨款支出决算情况说明</w:t>
      </w:r>
    </w:p>
    <w:p w14:paraId="36B59D24">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2023年度无国有资本经营预算财政拨款支出。</w:t>
      </w:r>
    </w:p>
    <w:p w14:paraId="222DCB39">
      <w:pPr>
        <w:pStyle w:val="6"/>
        <w:keepNext w:val="0"/>
        <w:keepLines w:val="0"/>
        <w:pageBreakBefore w:val="0"/>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三、“三公”经费情况说明</w:t>
      </w:r>
    </w:p>
    <w:p w14:paraId="31FFD45A">
      <w:pPr>
        <w:pStyle w:val="11"/>
        <w:keepNext w:val="0"/>
        <w:keepLines w:val="0"/>
        <w:pageBreakBefore w:val="0"/>
        <w:kinsoku/>
        <w:wordWrap/>
        <w:autoSpaceDE w:val="0"/>
        <w:autoSpaceDN/>
        <w:bidi w:val="0"/>
        <w:adjustRightInd/>
        <w:spacing w:beforeAutospacing="0" w:line="600" w:lineRule="exact"/>
        <w:ind w:firstLine="643"/>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（一）“三公”经费支出总体情况说明</w:t>
      </w:r>
    </w:p>
    <w:p w14:paraId="5383E179">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2023年度“三公”经费支出共计</w:t>
      </w:r>
      <w:r>
        <w:rPr>
          <w:rFonts w:hint="default" w:ascii="Times New Roman" w:hAnsi="Times New Roman" w:eastAsia="方正仿宋_GBK" w:cs="Times New Roman"/>
          <w:color w:val="000000" w:themeColor="text1"/>
          <w:sz w:val="32"/>
          <w:szCs w:val="32"/>
          <w14:textFill>
            <w14:solidFill>
              <w14:schemeClr w14:val="tx1"/>
            </w14:solidFill>
          </w14:textFill>
        </w:rPr>
        <w:t>21.16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万元，较年初预算数减少0.84万元，下降3.8%，主要原因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是认真贯彻落实中央八项规定精神，全年实际支出较预算有所下降。二是严格落实公车使用规定、强化公务接待支出管理，严格遵守公务接待开支范围和开支标准，严格控制陪餐人数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较上年支出数减少0.35万元，下降1.6%，主要原因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是认真贯彻落实中央八项规定精神，全年实际支出较预算有所下降。二是严格落实公车使用规定、强化公务接待支出管理，严格遵守公务接待开支范围和开支标准，严格控制陪餐人数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p>
    <w:p w14:paraId="52BAF10E">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（二）“三公”经费分项支出情况</w:t>
      </w:r>
    </w:p>
    <w:p w14:paraId="6DBA1011">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因公出国（境）费用</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于</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本部门202</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年度未发生因公出国（境）费用支出。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p>
    <w:p w14:paraId="7FA1C63E">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公务车购置费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是由</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于</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本部门2023年度未购置公务车。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p>
    <w:p w14:paraId="1EC98312">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公务车运行维护费</w:t>
      </w:r>
      <w:r>
        <w:rPr>
          <w:rFonts w:hint="default" w:ascii="Times New Roman" w:hAnsi="Times New Roman" w:eastAsia="方正仿宋_GBK" w:cs="Times New Roman"/>
          <w:color w:val="000000" w:themeColor="text1"/>
          <w:sz w:val="32"/>
          <w:szCs w:val="32"/>
          <w14:textFill>
            <w14:solidFill>
              <w14:schemeClr w14:val="tx1"/>
            </w14:solidFill>
          </w14:textFill>
        </w:rPr>
        <w:t>15.37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于机要文件交换、市内因公出行、安全生产督查、自然灾害防治等业务检查以及灾害发生后开展救灾工作所需车辆的燃料费、维修费、过桥过路费、保险费等。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费用支出较年初预算数减少0.63万元，下降3.9%，主要原因是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实际工作中严格贯彻中央八项规定精神，从严控制“三公”经费，严格落实公车使用规定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。较上年支出数减少0.15万元，下降</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实际工作中严格贯彻中央八项规定精神，从严控制“三公”经费，严格落实公车使用规定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58EAC722">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公务接待费</w:t>
      </w:r>
      <w:r>
        <w:rPr>
          <w:rFonts w:hint="default" w:ascii="Times New Roman" w:hAnsi="Times New Roman" w:eastAsia="方正仿宋_GBK" w:cs="Times New Roman"/>
          <w:color w:val="000000" w:themeColor="text1"/>
          <w:sz w:val="32"/>
          <w:szCs w:val="32"/>
          <w14:textFill>
            <w14:solidFill>
              <w14:schemeClr w14:val="tx1"/>
            </w14:solidFill>
          </w14:textFill>
        </w:rPr>
        <w:t>5.79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万元，主要用于</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接待各区县应急局到我</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学习调研安全生产监管与自然灾害应急工作，市应急局及其他相关部门检查指导工作发生的接待支出</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费用支出较年初预算数减少0.21万元，下降3.5%，主要原因是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较上年支出数减少0.21万元，下降3.5%，主要原因是是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p>
    <w:p w14:paraId="663E9B43">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（三）“三公”经费实物量情况</w:t>
      </w:r>
    </w:p>
    <w:p w14:paraId="78E4FECD">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因公出国（境）共计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s="Times New Roman"/>
          <w:color w:val="000000" w:themeColor="text1"/>
          <w:sz w:val="32"/>
          <w:szCs w:val="32"/>
          <w14:textFill>
            <w14:solidFill>
              <w14:schemeClr w14:val="tx1"/>
            </w14:solidFill>
          </w14:textFill>
        </w:rPr>
        <w:t>142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1145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人。2023年本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人均接待费</w:t>
      </w:r>
      <w:r>
        <w:rPr>
          <w:rFonts w:hint="default" w:ascii="Times New Roman" w:hAnsi="Times New Roman" w:eastAsia="方正仿宋_GBK" w:cs="Times New Roman"/>
          <w:color w:val="000000" w:themeColor="text1"/>
          <w:sz w:val="32"/>
          <w:szCs w:val="32"/>
          <w14:textFill>
            <w14:solidFill>
              <w14:schemeClr w14:val="tx1"/>
            </w14:solidFill>
          </w14:textFill>
        </w:rPr>
        <w:t>50.54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s="Times New Roman"/>
          <w:color w:val="000000" w:themeColor="text1"/>
          <w:sz w:val="32"/>
          <w:szCs w:val="32"/>
          <w14:textFill>
            <w14:solidFill>
              <w14:schemeClr w14:val="tx1"/>
            </w14:solidFill>
          </w14:textFill>
        </w:rPr>
        <w:t>3.84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14:paraId="49DDBC2E">
      <w:pPr>
        <w:pStyle w:val="6"/>
        <w:keepNext w:val="0"/>
        <w:keepLines w:val="0"/>
        <w:pageBreakBefore w:val="0"/>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四、其他需要说明的事项</w:t>
      </w:r>
    </w:p>
    <w:p w14:paraId="4ACFE6B0">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（一）财政拨款会议费和培训费情况说明</w:t>
      </w:r>
    </w:p>
    <w:p w14:paraId="1BEC83D0">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本年度会议费支出</w:t>
      </w:r>
      <w:r>
        <w:rPr>
          <w:rFonts w:hint="default" w:ascii="Times New Roman" w:hAnsi="Times New Roman" w:eastAsia="方正仿宋_GBK" w:cs="Times New Roman"/>
          <w:color w:val="000000" w:themeColor="text1"/>
          <w:sz w:val="32"/>
          <w:szCs w:val="32"/>
          <w14:textFill>
            <w14:solidFill>
              <w14:schemeClr w14:val="tx1"/>
            </w14:solidFill>
          </w14:textFill>
        </w:rPr>
        <w:t>2.47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万元，较上年决算数减少2.53万元，下降50.6%，主要原因是突发事故</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有所</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减少，相关调度会议减少。本年度培训费支出</w:t>
      </w:r>
      <w:r>
        <w:rPr>
          <w:rFonts w:hint="default" w:ascii="Times New Roman" w:hAnsi="Times New Roman" w:eastAsia="方正仿宋_GBK" w:cs="Times New Roman"/>
          <w:color w:val="000000" w:themeColor="text1"/>
          <w:sz w:val="32"/>
          <w:szCs w:val="32"/>
          <w14:textFill>
            <w14:solidFill>
              <w14:schemeClr w14:val="tx1"/>
            </w14:solidFill>
          </w14:textFill>
        </w:rPr>
        <w:t>0.86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万元，较上年决算数减少0.03万元，下降3.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%，主要原因是部分培训项目未开展，相关费用降低。</w:t>
      </w:r>
    </w:p>
    <w:p w14:paraId="481C24C6">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（二）机关运行经费情况说明</w:t>
      </w:r>
    </w:p>
    <w:p w14:paraId="18061FD0">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机关运行经费支出</w:t>
      </w:r>
      <w:r>
        <w:rPr>
          <w:rFonts w:hint="default" w:ascii="Times New Roman" w:hAnsi="Times New Roman" w:eastAsia="方正仿宋_GBK" w:cs="Times New Roman"/>
          <w:color w:val="000000" w:themeColor="text1"/>
          <w:sz w:val="32"/>
          <w:szCs w:val="32"/>
          <w14:textFill>
            <w14:solidFill>
              <w14:schemeClr w14:val="tx1"/>
            </w14:solidFill>
          </w14:textFill>
        </w:rPr>
        <w:t>146.18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万元，机关运行经费主要用于开支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办公费、印刷费、水电费、会议费、公务车运行维护费、信息网络购置更新费、物业管理费、差旅费、劳务费、会议费等支出</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机关运行经费较上年支出数减少199.1万元，下降57.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一方面</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认真贯彻落实中央八项规定精神</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积极响应“过紧日子”政策，压缩减少部分支出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另一方面是2022年决算时部分项目支出纳入了机关运行费用，2023年按预算项目分类纳入了项目支出，2023年机关运行经费减少。</w:t>
      </w:r>
    </w:p>
    <w:p w14:paraId="7E10C70D">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（三）国有资产占用情况说明</w:t>
      </w:r>
    </w:p>
    <w:p w14:paraId="027532EC">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截至2023年12月31日，本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共有车辆</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台（套）。</w:t>
      </w:r>
    </w:p>
    <w:p w14:paraId="10B070DF">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（四）政府采购支出情况说明</w:t>
      </w:r>
    </w:p>
    <w:p w14:paraId="4B593669">
      <w:pPr>
        <w:pStyle w:val="12"/>
        <w:keepNext w:val="0"/>
        <w:keepLines w:val="0"/>
        <w:pageBreakBefore w:val="0"/>
        <w:widowControl w:val="0"/>
        <w:suppressLineNumbers w:val="0"/>
        <w:kinsoku/>
        <w:wordWrap/>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政府采购支出总额</w:t>
      </w:r>
      <w:r>
        <w:rPr>
          <w:rFonts w:hint="default" w:ascii="Times New Roman" w:hAnsi="Times New Roman" w:eastAsia="方正仿宋_GBK" w:cs="Times New Roman"/>
          <w:color w:val="000000" w:themeColor="text1"/>
          <w:sz w:val="32"/>
          <w:szCs w:val="32"/>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s="Times New Roman"/>
          <w:color w:val="000000" w:themeColor="text1"/>
          <w:sz w:val="32"/>
          <w:szCs w:val="32"/>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0万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%。主要用于</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购买巨灾保险</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w:t>
      </w:r>
    </w:p>
    <w:p w14:paraId="2171B6B0">
      <w:pPr>
        <w:pStyle w:val="6"/>
        <w:keepNext w:val="0"/>
        <w:keepLines w:val="0"/>
        <w:pageBreakBefore w:val="0"/>
        <w:numPr>
          <w:ilvl w:val="0"/>
          <w:numId w:val="1"/>
        </w:numPr>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highlight w:val="none"/>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highlight w:val="none"/>
          <w:shd w:val="clear" w:color="auto" w:fill="FFFFFF"/>
          <w14:textFill>
            <w14:solidFill>
              <w14:schemeClr w14:val="tx1"/>
            </w14:solidFill>
          </w14:textFill>
        </w:rPr>
        <w:t>预算绩效管理情况说明</w:t>
      </w:r>
    </w:p>
    <w:p w14:paraId="36189574">
      <w:pPr>
        <w:pStyle w:val="11"/>
        <w:keepNext w:val="0"/>
        <w:keepLines w:val="0"/>
        <w:pageBreakBefore w:val="0"/>
        <w:numPr>
          <w:ilvl w:val="0"/>
          <w:numId w:val="2"/>
        </w:numPr>
        <w:kinsoku/>
        <w:wordWrap/>
        <w:autoSpaceDE w:val="0"/>
        <w:autoSpaceDN/>
        <w:bidi w:val="0"/>
        <w:adjustRightInd/>
        <w:spacing w:beforeAutospacing="0" w:line="600" w:lineRule="exact"/>
        <w:ind w:firstLine="643"/>
        <w:textAlignment w:val="auto"/>
        <w:rPr>
          <w:rFonts w:hint="default" w:ascii="Times New Roman" w:hAnsi="Times New Roman" w:eastAsia="方正楷体_GBK" w:cs="Times New Roman"/>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楷体_GBK" w:cs="Times New Roman"/>
          <w:b w:val="0"/>
          <w:bCs w:val="0"/>
          <w:color w:val="000000" w:themeColor="text1"/>
          <w:sz w:val="32"/>
          <w:szCs w:val="32"/>
          <w:highlight w:val="none"/>
          <w:shd w:val="clear" w:color="auto" w:fill="FFFFFF"/>
          <w:lang w:val="en-US" w:eastAsia="zh-CN"/>
          <w14:textFill>
            <w14:solidFill>
              <w14:schemeClr w14:val="tx1"/>
            </w14:solidFill>
          </w14:textFill>
        </w:rPr>
        <w:t>部门</w:t>
      </w:r>
      <w:r>
        <w:rPr>
          <w:rFonts w:hint="default" w:ascii="Times New Roman" w:hAnsi="Times New Roman" w:eastAsia="方正楷体_GBK" w:cs="Times New Roman"/>
          <w:b w:val="0"/>
          <w:bCs w:val="0"/>
          <w:color w:val="000000" w:themeColor="text1"/>
          <w:sz w:val="32"/>
          <w:szCs w:val="32"/>
          <w:highlight w:val="none"/>
          <w:shd w:val="clear" w:color="auto" w:fill="FFFFFF"/>
          <w14:textFill>
            <w14:solidFill>
              <w14:schemeClr w14:val="tx1"/>
            </w14:solidFill>
          </w14:textFill>
        </w:rPr>
        <w:t>自评情况</w:t>
      </w:r>
    </w:p>
    <w:p w14:paraId="232A21D4">
      <w:pPr>
        <w:pStyle w:val="18"/>
        <w:keepNext w:val="0"/>
        <w:keepLines w:val="0"/>
        <w:pageBreakBefore w:val="0"/>
        <w:widowControl w:val="0"/>
        <w:suppressLineNumbers w:val="0"/>
        <w:kinsoku/>
        <w:wordWrap/>
        <w:autoSpaceDE w:val="0"/>
        <w:autoSpaceDN/>
        <w:bidi w:val="0"/>
        <w:adjustRightInd/>
        <w:spacing w:beforeAutospacing="0" w:line="600" w:lineRule="exact"/>
        <w:ind w:left="0" w:leftChars="0" w:firstLine="640" w:firstLineChars="200"/>
        <w:jc w:val="both"/>
        <w:textAlignment w:val="auto"/>
        <w:rPr>
          <w:rFonts w:hint="default" w:ascii="Times New Roman" w:hAnsi="Times New Roman" w:eastAsia="楷体" w:cs="Times New Roman"/>
          <w:b/>
          <w:bCs/>
          <w:color w:val="000000" w:themeColor="text1"/>
          <w:sz w:val="32"/>
          <w:szCs w:val="32"/>
          <w:highlight w:val="yellow"/>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根据预算绩效管理要求，我</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对部门整体</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个项目开展了绩效自评，其中，以填报自评表形式开展自评</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项，涉及资金</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494.42</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万元。</w:t>
      </w:r>
    </w:p>
    <w:p w14:paraId="2C1CE2DB">
      <w:pPr>
        <w:pStyle w:val="11"/>
        <w:autoSpaceDE w:val="0"/>
        <w:ind w:firstLine="643"/>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（二）</w:t>
      </w:r>
      <w:r>
        <w:rPr>
          <w:rFonts w:hint="eastAsia" w:ascii="Times New Roman" w:hAnsi="Times New Roman" w:eastAsia="方正楷体_GBK" w:cs="Times New Roman"/>
          <w:b w:val="0"/>
          <w:bCs w:val="0"/>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绩效评价情况</w:t>
      </w:r>
    </w:p>
    <w:tbl>
      <w:tblPr>
        <w:tblStyle w:val="7"/>
        <w:tblW w:w="9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4"/>
        <w:gridCol w:w="423"/>
        <w:gridCol w:w="688"/>
        <w:gridCol w:w="1217"/>
        <w:gridCol w:w="413"/>
        <w:gridCol w:w="573"/>
        <w:gridCol w:w="1275"/>
        <w:gridCol w:w="211"/>
        <w:gridCol w:w="519"/>
        <w:gridCol w:w="480"/>
        <w:gridCol w:w="258"/>
        <w:gridCol w:w="542"/>
        <w:gridCol w:w="95"/>
        <w:gridCol w:w="874"/>
      </w:tblGrid>
      <w:tr w14:paraId="37B3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BB32">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202</w:t>
            </w:r>
            <w:r>
              <w:rPr>
                <w:rFonts w:hint="default" w:ascii="Times New Roman" w:hAnsi="Times New Roman" w:eastAsia="方正仿宋_GBK" w:cs="Times New Roman"/>
                <w:b/>
                <w:bCs/>
                <w:color w:val="000000" w:themeColor="text1"/>
                <w:kern w:val="0"/>
                <w:sz w:val="28"/>
                <w:szCs w:val="28"/>
                <w:lang w:val="en-US" w:eastAsia="zh-CN"/>
                <w14:textFill>
                  <w14:solidFill>
                    <w14:schemeClr w14:val="tx1"/>
                  </w14:solidFill>
                </w14:textFill>
              </w:rPr>
              <w:t>3</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年度部门整体绩效自评表</w:t>
            </w:r>
          </w:p>
        </w:tc>
      </w:tr>
      <w:tr w14:paraId="3793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C5AF7">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项目名称：</w:t>
            </w:r>
          </w:p>
        </w:tc>
        <w:tc>
          <w:tcPr>
            <w:tcW w:w="11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0B536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巫溪县应急管理局整体自评</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9764C0">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项目编码：</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D3222">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50023800023P000091</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7D2BF">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自评总分：</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556A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99.98</w:t>
            </w:r>
          </w:p>
        </w:tc>
        <w:tc>
          <w:tcPr>
            <w:tcW w:w="73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78C47">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c>
          <w:tcPr>
            <w:tcW w:w="15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A1854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692F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C0B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项目主管部门：</w:t>
            </w:r>
          </w:p>
        </w:tc>
        <w:tc>
          <w:tcPr>
            <w:tcW w:w="11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F0CF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049-巫溪县应急管理局</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76DBB">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财政归口科室：</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389C84">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004-经建科</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35E2B">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部门联系人：</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292C99">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王丽清</w:t>
            </w:r>
          </w:p>
        </w:tc>
        <w:tc>
          <w:tcPr>
            <w:tcW w:w="73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5BFA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联系电话：</w:t>
            </w:r>
          </w:p>
        </w:tc>
        <w:tc>
          <w:tcPr>
            <w:tcW w:w="15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814B0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18996633019</w:t>
            </w:r>
          </w:p>
        </w:tc>
      </w:tr>
      <w:tr w14:paraId="0A4E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378C">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资金情况</w:t>
            </w:r>
          </w:p>
        </w:tc>
      </w:tr>
      <w:tr w14:paraId="0793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29F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9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F39EC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年初预算数</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D57DE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全年（调整）预算数</w:t>
            </w:r>
          </w:p>
        </w:tc>
        <w:tc>
          <w:tcPr>
            <w:tcW w:w="14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1DFC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全年执行数</w:t>
            </w:r>
          </w:p>
        </w:tc>
        <w:tc>
          <w:tcPr>
            <w:tcW w:w="12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6230F">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w:t>
            </w:r>
          </w:p>
        </w:tc>
        <w:tc>
          <w:tcPr>
            <w:tcW w:w="63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828AD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执行率权重</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3F2F8">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执行率得分</w:t>
            </w:r>
          </w:p>
        </w:tc>
      </w:tr>
      <w:tr w14:paraId="5A61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CF7F">
            <w:pPr>
              <w:keepNext w:val="0"/>
              <w:keepLines w:val="0"/>
              <w:widowControl/>
              <w:suppressLineNumbers w:val="0"/>
              <w:ind w:firstLineChars="10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年度总金额</w:t>
            </w:r>
          </w:p>
        </w:tc>
        <w:tc>
          <w:tcPr>
            <w:tcW w:w="19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AD787">
            <w:pPr>
              <w:ind w:firstLine="417" w:firstLineChars="0"/>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15344247.04</w:t>
            </w:r>
          </w:p>
        </w:tc>
        <w:tc>
          <w:tcPr>
            <w:tcW w:w="9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5DA8E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22312858.8</w:t>
            </w:r>
          </w:p>
        </w:tc>
        <w:tc>
          <w:tcPr>
            <w:tcW w:w="14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1EBC78">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22268850.8</w:t>
            </w:r>
          </w:p>
        </w:tc>
        <w:tc>
          <w:tcPr>
            <w:tcW w:w="125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9E526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63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CC7F7C">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8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555748">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50A9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845D">
            <w:pPr>
              <w:keepNext w:val="0"/>
              <w:keepLines w:val="0"/>
              <w:widowControl/>
              <w:suppressLineNumbers w:val="0"/>
              <w:ind w:firstLineChars="10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其中：财政拨款</w:t>
            </w:r>
          </w:p>
        </w:tc>
        <w:tc>
          <w:tcPr>
            <w:tcW w:w="19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E04C8">
            <w:pPr>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15344247.04</w:t>
            </w:r>
          </w:p>
        </w:tc>
        <w:tc>
          <w:tcPr>
            <w:tcW w:w="9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30569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22312858.8</w:t>
            </w:r>
          </w:p>
        </w:tc>
        <w:tc>
          <w:tcPr>
            <w:tcW w:w="14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BDC03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22268850.8</w:t>
            </w:r>
          </w:p>
        </w:tc>
        <w:tc>
          <w:tcPr>
            <w:tcW w:w="125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0C524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99.8</w:t>
            </w:r>
          </w:p>
        </w:tc>
        <w:tc>
          <w:tcPr>
            <w:tcW w:w="63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88D7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10.00</w:t>
            </w:r>
          </w:p>
        </w:tc>
        <w:tc>
          <w:tcPr>
            <w:tcW w:w="8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A08722">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9.98</w:t>
            </w:r>
          </w:p>
        </w:tc>
      </w:tr>
      <w:tr w14:paraId="0768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D42E">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绩效目标</w:t>
            </w:r>
          </w:p>
        </w:tc>
      </w:tr>
      <w:tr w14:paraId="068E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0238">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年初绩效目标</w:t>
            </w:r>
          </w:p>
        </w:tc>
        <w:tc>
          <w:tcPr>
            <w:tcW w:w="24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83369">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全年（调整）绩效目标</w:t>
            </w:r>
          </w:p>
        </w:tc>
        <w:tc>
          <w:tcPr>
            <w:tcW w:w="276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B11DF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全年目标实际完成情况</w:t>
            </w:r>
          </w:p>
        </w:tc>
      </w:tr>
      <w:tr w14:paraId="7B08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8" w:hRule="atLeast"/>
          <w:jc w:val="center"/>
        </w:trPr>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31A329">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c>
          <w:tcPr>
            <w:tcW w:w="24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14:paraId="697B2F1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c>
          <w:tcPr>
            <w:tcW w:w="2768"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14:paraId="1EB358A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r>
      <w:tr w14:paraId="11EE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1BF5">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绩效指标</w:t>
            </w:r>
          </w:p>
        </w:tc>
      </w:tr>
      <w:tr w14:paraId="6CAC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A37F">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指标名称</w:t>
            </w:r>
          </w:p>
        </w:tc>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5EEA3">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计量单位</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43365">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指标性质</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AF7759">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指标值</w:t>
            </w:r>
          </w:p>
        </w:tc>
        <w:tc>
          <w:tcPr>
            <w:tcW w:w="4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80CA8">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全年完成值</w:t>
            </w:r>
          </w:p>
        </w:tc>
        <w:tc>
          <w:tcPr>
            <w:tcW w:w="5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1005D">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偏离度（%）</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9101E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得分系数（%）</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4F2B0">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指标权重</w:t>
            </w:r>
          </w:p>
        </w:tc>
        <w:tc>
          <w:tcPr>
            <w:tcW w:w="4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D292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指标得分</w:t>
            </w:r>
          </w:p>
        </w:tc>
        <w:tc>
          <w:tcPr>
            <w:tcW w:w="8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0942F">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是否核心指标</w:t>
            </w:r>
          </w:p>
        </w:tc>
        <w:tc>
          <w:tcPr>
            <w:tcW w:w="9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1C05C">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说明</w:t>
            </w:r>
          </w:p>
        </w:tc>
      </w:tr>
      <w:tr w14:paraId="1300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784F">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安全生产与自然灾害宣传次数</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37541">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次</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86F808">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B2E2CB">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D24C9E">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C924E4">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F3B2F3">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EC71C2">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FD385B">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ABB503">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244BEF">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14:paraId="430F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F54F">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安全生产形势</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61DFC7">
            <w:pPr>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7AA6F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定性</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07114E">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明显改善</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7DDAD2">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A1EAC">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19C40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88E34F">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30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B05314">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30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0B35E">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9DA09B">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14:paraId="7068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0473">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应急管理和防灾减灾能力体系</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F1729D">
            <w:pPr>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FD6F6B">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定性</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382E98">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有效改善</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0A4A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C71608">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3D5FC">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F4715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2AFA4">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B67850">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D0C164">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14:paraId="31A7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D154">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突发事件相关人员到场率</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523F0">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A2DADD">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10FFC2">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90</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79BCB">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90</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5C2732">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E82282">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18A935">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B42F5">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D8A8F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1897DE">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14:paraId="27FF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5CF0">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群众对我局安全生产工作满意度</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20E76">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445D4E">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43882B">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95</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1AC9B">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95</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FE188B">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251059">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CE38A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CC3337">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C4D91D">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2C5775">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14:paraId="30B1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4"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8CAF">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安全生产与自然灾害宣传次数</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55839">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次</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C67710">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EBA880">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491ADF">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0D6FE5">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208DF3">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526535">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0674D1">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77EC78">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C59EB7">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bl>
    <w:p w14:paraId="28B1087B">
      <w:pPr>
        <w:pStyle w:val="14"/>
        <w:autoSpaceDE w:val="0"/>
        <w:ind w:left="0" w:leftChars="0" w:firstLine="0" w:firstLineChars="0"/>
        <w:jc w:val="both"/>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sectPr>
          <w:footerReference r:id="rId3" w:type="default"/>
          <w:pgSz w:w="11915" w:h="16840"/>
          <w:pgMar w:top="2098" w:right="1474" w:bottom="1984" w:left="1587" w:header="851" w:footer="992" w:gutter="0"/>
          <w:pgNumType w:fmt="decimal"/>
          <w:cols w:space="720" w:num="1"/>
          <w:docGrid w:type="lines" w:linePitch="312" w:charSpace="0"/>
        </w:sectPr>
      </w:pPr>
    </w:p>
    <w:tbl>
      <w:tblPr>
        <w:tblStyle w:val="7"/>
        <w:tblW w:w="10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60"/>
        <w:gridCol w:w="540"/>
        <w:gridCol w:w="810"/>
        <w:gridCol w:w="1311"/>
        <w:gridCol w:w="339"/>
        <w:gridCol w:w="572"/>
        <w:gridCol w:w="314"/>
        <w:gridCol w:w="1241"/>
        <w:gridCol w:w="504"/>
        <w:gridCol w:w="96"/>
        <w:gridCol w:w="336"/>
        <w:gridCol w:w="668"/>
        <w:gridCol w:w="1496"/>
        <w:gridCol w:w="90"/>
      </w:tblGrid>
      <w:tr w14:paraId="45A6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20"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B8B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202</w:t>
            </w:r>
            <w:r>
              <w:rPr>
                <w:rFonts w:hint="default" w:ascii="Times New Roman" w:hAnsi="Times New Roman" w:eastAsia="方正仿宋_GBK" w:cs="Times New Roman"/>
                <w:b/>
                <w:bCs/>
                <w:color w:val="000000" w:themeColor="text1"/>
                <w:kern w:val="0"/>
                <w:sz w:val="28"/>
                <w:szCs w:val="28"/>
                <w:lang w:val="en-US" w:eastAsia="zh-CN"/>
                <w14:textFill>
                  <w14:solidFill>
                    <w14:schemeClr w14:val="tx1"/>
                  </w14:solidFill>
                </w14:textFill>
              </w:rPr>
              <w:t>3</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年度二级项目绩效自评表</w:t>
            </w:r>
          </w:p>
        </w:tc>
      </w:tr>
      <w:tr w14:paraId="0045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1035"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0F6CE">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项目名称：</w:t>
            </w:r>
          </w:p>
        </w:tc>
        <w:tc>
          <w:tcPr>
            <w:tcW w:w="13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F5F2F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巫溪县综合救援大队应急值守政务值班应急救援</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6D1CD1">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项目编码：</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BC7EC">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0"/>
                <w:sz w:val="18"/>
                <w:szCs w:val="18"/>
                <w14:textFill>
                  <w14:solidFill>
                    <w14:schemeClr w14:val="tx1"/>
                  </w14:solidFill>
                </w14:textFill>
              </w:rPr>
              <w:t>0023823T000003441437</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A1E252">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自评总分：</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DA34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100.00</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4C5AD">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B9187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75C6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57"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288FB">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项目主管部门：</w:t>
            </w:r>
          </w:p>
        </w:tc>
        <w:tc>
          <w:tcPr>
            <w:tcW w:w="13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9F8DA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049-巫溪县应急管理局</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D4421D">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财政归口科室：</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D3F4C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004-经建科</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2E7263">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部门联系人：</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B0D1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刘永界</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2B55C">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联系电话：</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223C1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18223608919</w:t>
            </w:r>
          </w:p>
        </w:tc>
      </w:tr>
      <w:tr w14:paraId="5B33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53"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925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资金情况</w:t>
            </w:r>
          </w:p>
        </w:tc>
      </w:tr>
      <w:tr w14:paraId="3B4C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CE09">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324AC">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年初预算数</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12AFC9">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全年（调整）预算数</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8A22B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全年执行数</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0D45EF1">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1AD82D">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执行率权重</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93993D">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执行率得分</w:t>
            </w:r>
          </w:p>
        </w:tc>
        <w:tc>
          <w:tcPr>
            <w:tcW w:w="90" w:type="dxa"/>
            <w:vMerge w:val="restart"/>
            <w:tcBorders>
              <w:top w:val="nil"/>
              <w:left w:val="nil"/>
              <w:bottom w:val="nil"/>
              <w:right w:val="nil"/>
            </w:tcBorders>
            <w:shd w:val="clear" w:color="auto" w:fill="auto"/>
            <w:tcMar>
              <w:top w:w="15" w:type="dxa"/>
              <w:left w:w="15" w:type="dxa"/>
              <w:right w:w="15" w:type="dxa"/>
            </w:tcMar>
            <w:vAlign w:val="center"/>
          </w:tcPr>
          <w:p w14:paraId="3D9C1BD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r>
      <w:tr w14:paraId="4B77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1963">
            <w:pPr>
              <w:keepNext w:val="0"/>
              <w:keepLines w:val="0"/>
              <w:widowControl/>
              <w:suppressLineNumbers w:val="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年度总金额</w:t>
            </w: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2C1C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EAE16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0F1E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D4BB8D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F324A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2068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90" w:type="dxa"/>
            <w:vMerge w:val="continue"/>
            <w:tcBorders>
              <w:top w:val="nil"/>
              <w:left w:val="nil"/>
              <w:bottom w:val="nil"/>
              <w:right w:val="nil"/>
            </w:tcBorders>
            <w:shd w:val="clear" w:color="auto" w:fill="auto"/>
            <w:tcMar>
              <w:top w:w="15" w:type="dxa"/>
              <w:left w:w="15" w:type="dxa"/>
              <w:right w:w="15" w:type="dxa"/>
            </w:tcMar>
            <w:vAlign w:val="center"/>
          </w:tcPr>
          <w:p w14:paraId="33DE3812">
            <w:pPr>
              <w:rPr>
                <w:rFonts w:hint="default" w:ascii="Times New Roman" w:hAnsi="Times New Roman" w:cs="Times New Roman"/>
                <w:color w:val="000000" w:themeColor="text1"/>
                <w:sz w:val="20"/>
                <w:szCs w:val="20"/>
                <w14:textFill>
                  <w14:solidFill>
                    <w14:schemeClr w14:val="tx1"/>
                  </w14:solidFill>
                </w14:textFill>
              </w:rPr>
            </w:pPr>
          </w:p>
        </w:tc>
      </w:tr>
      <w:tr w14:paraId="2688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EC8B">
            <w:pPr>
              <w:keepNext w:val="0"/>
              <w:keepLines w:val="0"/>
              <w:widowControl/>
              <w:suppressLineNumbers w:val="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其中：财政拨款</w:t>
            </w: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A95A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4E9E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2D22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C95FE1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9F711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69AF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w:t>
            </w:r>
          </w:p>
        </w:tc>
        <w:tc>
          <w:tcPr>
            <w:tcW w:w="90" w:type="dxa"/>
            <w:tcBorders>
              <w:top w:val="nil"/>
              <w:left w:val="nil"/>
              <w:bottom w:val="nil"/>
              <w:right w:val="nil"/>
            </w:tcBorders>
            <w:shd w:val="clear" w:color="auto" w:fill="auto"/>
            <w:tcMar>
              <w:top w:w="15" w:type="dxa"/>
              <w:left w:w="15" w:type="dxa"/>
              <w:right w:w="15" w:type="dxa"/>
            </w:tcMar>
            <w:vAlign w:val="center"/>
          </w:tcPr>
          <w:p w14:paraId="322AFDF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27D8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11"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BC5D">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绩效目标</w:t>
            </w:r>
          </w:p>
        </w:tc>
      </w:tr>
      <w:tr w14:paraId="68A2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40" w:hRule="atLeast"/>
          <w:jc w:val="center"/>
        </w:trPr>
        <w:tc>
          <w:tcPr>
            <w:tcW w:w="4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2F4A">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年初绩效目标</w:t>
            </w:r>
          </w:p>
        </w:tc>
        <w:tc>
          <w:tcPr>
            <w:tcW w:w="246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03BB76">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全年（调整）绩效目标</w:t>
            </w:r>
          </w:p>
        </w:tc>
        <w:tc>
          <w:tcPr>
            <w:tcW w:w="31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AAA42">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全年目标实际完成情况</w:t>
            </w:r>
          </w:p>
        </w:tc>
      </w:tr>
      <w:tr w14:paraId="1A61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2612" w:hRule="atLeast"/>
          <w:jc w:val="center"/>
        </w:trPr>
        <w:tc>
          <w:tcPr>
            <w:tcW w:w="4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86333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组建综合救援队伍一支 ，开展日常救援能力训练，提高救援队伍应对处置能力，在自然灾害发生及其他需要救援事件时，组织开展救援，减少人民群众灾害损失。</w:t>
            </w:r>
          </w:p>
        </w:tc>
        <w:tc>
          <w:tcPr>
            <w:tcW w:w="246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14:paraId="7880BB2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31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14:paraId="11CA4F5C">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开展日常救援能力训练，提高救援队伍应对处置能力，在自然灾害发生及其他需要救援事件时，组织开展救援，减少人民群众灾害损失。</w:t>
            </w:r>
          </w:p>
        </w:tc>
      </w:tr>
      <w:tr w14:paraId="65D2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45"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A64E">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绩效指标</w:t>
            </w:r>
          </w:p>
        </w:tc>
      </w:tr>
      <w:tr w14:paraId="2255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714"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B357">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指标名称</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B9372">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计量单位</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7943E">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指标性质</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F3AA70">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指标值</w:t>
            </w:r>
          </w:p>
        </w:tc>
        <w:tc>
          <w:tcPr>
            <w:tcW w:w="3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D3FF1">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全年完成值</w:t>
            </w:r>
          </w:p>
        </w:tc>
        <w:tc>
          <w:tcPr>
            <w:tcW w:w="5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6B7CC">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偏离度（%）</w:t>
            </w:r>
          </w:p>
        </w:tc>
        <w:tc>
          <w:tcPr>
            <w:tcW w:w="15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F6468">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得分系数（%）</w:t>
            </w:r>
          </w:p>
        </w:tc>
        <w:tc>
          <w:tcPr>
            <w:tcW w:w="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13C66">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指标权重</w:t>
            </w:r>
          </w:p>
        </w:tc>
        <w:tc>
          <w:tcPr>
            <w:tcW w:w="43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4CDD4">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指标得分</w:t>
            </w:r>
          </w:p>
        </w:tc>
        <w:tc>
          <w:tcPr>
            <w:tcW w:w="6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FDC3B3">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是否核心指标</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EDD62">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说明</w:t>
            </w:r>
          </w:p>
        </w:tc>
      </w:tr>
      <w:tr w14:paraId="63CA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88"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213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培养专业救援人员</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33644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人</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A0EE3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B6C88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30</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671CE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30</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428F60">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12520">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38258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5E013B">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8AEAE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9EE7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1D4F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60"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B3D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组建综合救援队伍</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BF809F">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个</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075D0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D72548">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6EC77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8F4079">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DC4B5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CAB0A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61C2B0">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17334">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78909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7CF8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605"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CFC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工资按时发放率</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1D9F25">
            <w:pPr>
              <w:jc w:val="left"/>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91D8C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定性</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EFBD8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每月5日前</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F6B13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DDCB2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A7706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457EF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BECCB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66FB28">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6B10D">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4D49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687"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7F4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应急处置能力</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0D9E11">
            <w:pPr>
              <w:jc w:val="left"/>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2C8C3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定性</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0C4DD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有所提升</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1B8C4">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ED2E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03AA98">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DBA17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4A4E2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061454">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89892E">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14:paraId="0DC2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23"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DDF4">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救援群众满意度</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8320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963F1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0C7F87">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95</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29BC4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95</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22458C">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884BE3">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5C0C4A">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43BBF1">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E43DA5">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2960C6">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p>
        </w:tc>
      </w:tr>
    </w:tbl>
    <w:p w14:paraId="394DCD9E">
      <w:pPr>
        <w:keepNext w:val="0"/>
        <w:keepLines w:val="0"/>
        <w:widowControl/>
        <w:suppressLineNumbers w:val="0"/>
        <w:jc w:val="center"/>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sectPr>
          <w:pgSz w:w="11915" w:h="16840"/>
          <w:pgMar w:top="1440" w:right="1800" w:bottom="1440" w:left="1800" w:header="851" w:footer="992" w:gutter="0"/>
          <w:pgNumType w:fmt="decimal"/>
          <w:cols w:space="720" w:num="1"/>
          <w:docGrid w:type="lines" w:linePitch="312" w:charSpace="0"/>
        </w:sectPr>
      </w:pPr>
    </w:p>
    <w:p w14:paraId="7E8B20DC">
      <w:pPr>
        <w:pStyle w:val="14"/>
        <w:autoSpaceDE w:val="0"/>
        <w:ind w:firstLine="960" w:firstLineChars="300"/>
        <w:jc w:val="center"/>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pPr>
    </w:p>
    <w:p w14:paraId="423F264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（三）财政绩效评价情况</w:t>
      </w:r>
    </w:p>
    <w:p w14:paraId="6948443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县财政局未委托第三方对我</w:t>
      </w:r>
      <w:r>
        <w:rPr>
          <w:rFonts w:hint="eastAsia"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开展绩效评价。</w:t>
      </w:r>
    </w:p>
    <w:p w14:paraId="231CBA8D">
      <w:pPr>
        <w:pStyle w:val="6"/>
        <w:keepNext w:val="0"/>
        <w:keepLines w:val="0"/>
        <w:pageBreakBefore w:val="0"/>
        <w:widowControl/>
        <w:shd w:val="clear" w:color="auto" w:fill="FFFFFF"/>
        <w:kinsoku/>
        <w:wordWrap/>
        <w:overflowPunct/>
        <w:topLinePunct w:val="0"/>
        <w:autoSpaceDE/>
        <w:autoSpaceDN/>
        <w:bidi w:val="0"/>
        <w:adjustRightInd/>
        <w:spacing w:line="600" w:lineRule="exact"/>
        <w:textAlignment w:val="auto"/>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六、专业名词解释</w:t>
      </w:r>
    </w:p>
    <w:p w14:paraId="67FBEEB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（一）财政拨款收入：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14:paraId="3E6FD81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（二）事业收入：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14:paraId="676322D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（三）经营收入：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14:paraId="13C45BC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（四）其他收入：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A5F03C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（五）使用非财政拨款结余：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14:paraId="03AC0F6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（六）年初结转和结余：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14:paraId="501BD77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（七）结余分配：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14:paraId="5AE58C9B">
      <w:pPr>
        <w:pStyle w:val="11"/>
        <w:autoSpaceDE w:val="0"/>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八）年末结转和结余：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指单位结转下年的基本支出结转、项目支出结转和结余、经营结余。</w:t>
      </w:r>
    </w:p>
    <w:p w14:paraId="50197513">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（九）基本支出：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F6023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（十）项目支出：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14:paraId="6004A3C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（十一）经营支出：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14:paraId="371C398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（十二）“三公”经费：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5B7BF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（十三）机关运行经费：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601C52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14:paraId="5D12C24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 （十五）商品和服务支出（支出经济分类科目类级）：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14:paraId="5DED0BD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楷体"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反映用于对个人和家庭的补助支出。</w:t>
      </w:r>
    </w:p>
    <w:p w14:paraId="42574B3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14:paraId="4BD92654">
      <w:pPr>
        <w:pStyle w:val="6"/>
        <w:shd w:val="clear" w:color="auto" w:fill="FFFFFF"/>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  七、决算公开联系方式及信息反馈渠道</w:t>
      </w:r>
    </w:p>
    <w:p w14:paraId="74384B46">
      <w:pPr>
        <w:pStyle w:val="11"/>
        <w:autoSpaceDE w:val="0"/>
        <w:ind w:firstLine="0" w:firstLineChars="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本单位决算公开信息反馈和联系方式：</w:t>
      </w:r>
    </w:p>
    <w:p w14:paraId="4EC3E4B4">
      <w:pPr>
        <w:pStyle w:val="12"/>
        <w:keepNext w:val="0"/>
        <w:keepLines w:val="0"/>
        <w:widowControl w:val="0"/>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罗婷</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 xml:space="preserve">   023-51522817</w:t>
      </w:r>
    </w:p>
    <w:p w14:paraId="04ECFA6E">
      <w:pPr>
        <w:pStyle w:val="11"/>
        <w:autoSpaceDE w:val="0"/>
        <w:ind w:firstLine="0" w:firstLineChars="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sectPr>
          <w:pgSz w:w="11915" w:h="16840"/>
          <w:pgMar w:top="1440" w:right="1800" w:bottom="1440" w:left="1800" w:header="851" w:footer="992" w:gutter="0"/>
          <w:pgNumType w:fmt="decimal"/>
          <w:cols w:space="720" w:num="1"/>
          <w:docGrid w:type="lines" w:linePitch="312" w:charSpace="0"/>
        </w:sectPr>
      </w:pPr>
    </w:p>
    <w:p w14:paraId="56048860">
      <w:pPr>
        <w:rPr>
          <w:rFonts w:hint="default" w:ascii="Times New Roman" w:hAnsi="Times New Roman" w:cs="Times New Roman"/>
          <w:color w:val="000000" w:themeColor="text1"/>
          <w:sz w:val="21"/>
          <w:szCs w:val="21"/>
          <w14:textFill>
            <w14:solidFill>
              <w14:schemeClr w14:val="tx1"/>
            </w14:solidFill>
          </w14:textFill>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90CA9B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BF4754B">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收入支出决算总表</w:t>
            </w:r>
          </w:p>
        </w:tc>
      </w:tr>
      <w:tr w14:paraId="1A8BCB9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0708050">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0DC2A73">
            <w:pPr>
              <w:spacing w:line="20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ABBBE72">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88CA407">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公开01表</w:t>
            </w:r>
          </w:p>
        </w:tc>
      </w:tr>
      <w:tr w14:paraId="1BCD22A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793C28D">
            <w:pPr>
              <w:spacing w:line="200" w:lineRule="exact"/>
              <w:rPr>
                <w:rFonts w:hint="default" w:ascii="Times New Roman" w:hAnsi="Times New Roman" w:cs="Times New Roman"/>
                <w:color w:val="000000" w:themeColor="text1"/>
                <w:sz w:val="22"/>
                <w:szCs w:val="22"/>
                <w14:textFill>
                  <w14:solidFill>
                    <w14:schemeClr w14:val="tx1"/>
                  </w14:solidFill>
                </w14:textFill>
              </w:rPr>
            </w:pPr>
            <w:r>
              <w:rPr>
                <w:rFonts w:cs="宋体"/>
                <w:sz w:val="20"/>
                <w:szCs w:val="20"/>
              </w:rPr>
              <w:t>公开部门：</w:t>
            </w:r>
            <w:r>
              <w:rPr>
                <w:sz w:val="20"/>
                <w:u w:color="auto"/>
              </w:rPr>
              <w:t>重庆市巫溪县应急管理局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940598A">
            <w:pPr>
              <w:spacing w:line="200" w:lineRule="exact"/>
              <w:rPr>
                <w:rFonts w:hint="default" w:ascii="Times New Roman" w:hAnsi="Times New Roman" w:cs="Times New Roman"/>
                <w:color w:val="000000" w:themeColor="text1"/>
                <w:sz w:val="22"/>
                <w:szCs w:val="22"/>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76D02B7">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7596CD7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B6EDD">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0369B06">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支出</w:t>
            </w:r>
          </w:p>
        </w:tc>
      </w:tr>
      <w:tr w14:paraId="00DC6E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9D757">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6B852">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6BB17">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03DF4">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r>
      <w:tr w14:paraId="58D11D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2D5D0">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5BF1">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6333D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09D1">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27D5F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DC539">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EC436">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7FC55">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DE62">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48CDA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2F2E7">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428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39473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36D3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C7B7C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C12E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C5B7">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89679">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AEADC">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D1654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7D5A9">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3200">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970B1">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9C81">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8FDBA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6D6B">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33AE">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7C3C40">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5DF1">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B9CE8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AADC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46FEF">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72040">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9E22">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8442C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995FF">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8E55473">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90297C">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627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152.55</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7F990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7286E">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0A084F">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E66EA3">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9B92">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38.59</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2918B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4936C">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B315F3">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D66A3A">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09C74">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04FAD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D51D4">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D136C">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F0613C">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38E0">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8D408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F4D25">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4C5B5">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AF9F3">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6FC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A5DD4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A5E93">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A1B9">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56E3F7">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1BC8D">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69534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E46D">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8DFF">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B0145F">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962FD">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51118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3D35A">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A3D3">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CACC9">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74C2">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A7C94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C4538">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F4BF0">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C2CC8">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7B17">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49225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202F">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95C2">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3B1EA">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D279">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19691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F12BB">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A759">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97D28">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6620">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2B5ED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5DF4">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48F4">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106152">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7B84">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4C461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BD976">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F039A">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ECEA8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E6C28">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2E5416C">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A22D6">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D9D0">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5A10D">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D853">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B6C72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82B0">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9CD1">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DA1238">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8FDF">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1,289.68</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DCAD1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B8153">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7E750">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F6FEB">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9A0B">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7CA23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E975E">
            <w:pPr>
              <w:spacing w:line="240" w:lineRule="exact"/>
              <w:jc w:val="center"/>
              <w:rPr>
                <w:rFonts w:hint="default" w:ascii="Times New Roman" w:hAnsi="Times New Roman" w:cs="Times New Roman"/>
                <w:b/>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5DB8">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D0F18D">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B7E3D">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0E8B4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A549">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3E2CE">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93239">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6EB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13EB3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1C138">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9353">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4378E4">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5982">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61B31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2E4A">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969C">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57465">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EE35">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EE11B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2853">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56E0C">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DE73B">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EBDE">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3E8A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EF73">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73FA">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E8030">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E2EC21">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A264E3C">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8C1F3">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AC57">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76FB9DD">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5FCD8">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r>
    </w:tbl>
    <w:p w14:paraId="0D556A5C">
      <w:pPr>
        <w:spacing w:line="24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E8A676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60DB0B">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收入决算表</w:t>
            </w:r>
          </w:p>
        </w:tc>
      </w:tr>
      <w:tr w14:paraId="36C85DC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48F30A7">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sz w:val="20"/>
                <w:u w:color="auto"/>
              </w:rPr>
              <w:t>重庆市巫溪县应急管理局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63D854EC">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A60375">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2849BA">
            <w:pPr>
              <w:rPr>
                <w:rFonts w:hint="default" w:ascii="Times New Roman" w:hAnsi="Times New Roman" w:cs="Times New Roman"/>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AD84FE5">
            <w:pPr>
              <w:rPr>
                <w:rFonts w:hint="default" w:ascii="Times New Roman" w:hAnsi="Times New Roman" w:cs="Times New Roman"/>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412409E">
            <w:pPr>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7E5454C">
            <w:pPr>
              <w:rPr>
                <w:rFonts w:hint="default" w:ascii="Times New Roman" w:hAnsi="Times New Roman" w:cs="Times New Roman"/>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3C1FC2">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公开02表</w:t>
            </w:r>
          </w:p>
        </w:tc>
      </w:tr>
      <w:tr w14:paraId="1B64EF6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9EB9B88">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1A808E">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8C4F0B">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7D7964C">
            <w:pPr>
              <w:rPr>
                <w:rFonts w:hint="default" w:ascii="Times New Roman" w:hAnsi="Times New Roman" w:cs="Times New Roman"/>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CAD1F83">
            <w:pPr>
              <w:rPr>
                <w:rFonts w:hint="default" w:ascii="Times New Roman" w:hAnsi="Times New Roman" w:cs="Times New Roman"/>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17798A8">
            <w:pPr>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58BE49">
            <w:pPr>
              <w:rPr>
                <w:rFonts w:hint="default" w:ascii="Times New Roman" w:hAnsi="Times New Roman" w:cs="Times New Roman"/>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BB9494D">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17857E9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37C5AA8">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A5235">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AF3DC">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80074">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A0D9C6">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671B2">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F47AC">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E736D">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其他收入</w:t>
            </w:r>
          </w:p>
        </w:tc>
      </w:tr>
      <w:tr w14:paraId="3B36299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70349">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5775C6">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7A7E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23B93">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FFC87">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FA221">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FA2EF">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44F7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4C0C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17C58">
            <w:pPr>
              <w:jc w:val="center"/>
              <w:rPr>
                <w:rFonts w:hint="default" w:ascii="Times New Roman" w:hAnsi="Times New Roman" w:cs="Times New Roman"/>
                <w:b/>
                <w:color w:val="000000" w:themeColor="text1"/>
                <w:sz w:val="20"/>
                <w:szCs w:val="20"/>
                <w14:textFill>
                  <w14:solidFill>
                    <w14:schemeClr w14:val="tx1"/>
                  </w14:solidFill>
                </w14:textFill>
              </w:rPr>
            </w:pPr>
          </w:p>
        </w:tc>
      </w:tr>
      <w:tr w14:paraId="24DE661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FE9F4">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254310">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D0B29">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D24A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6FB05">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B14A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149ED">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76D6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A4C5D">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8CAD1">
            <w:pPr>
              <w:jc w:val="center"/>
              <w:rPr>
                <w:rFonts w:hint="default" w:ascii="Times New Roman" w:hAnsi="Times New Roman" w:cs="Times New Roman"/>
                <w:b/>
                <w:color w:val="000000" w:themeColor="text1"/>
                <w:sz w:val="20"/>
                <w:szCs w:val="20"/>
                <w14:textFill>
                  <w14:solidFill>
                    <w14:schemeClr w14:val="tx1"/>
                  </w14:solidFill>
                </w14:textFill>
              </w:rPr>
            </w:pPr>
          </w:p>
        </w:tc>
      </w:tr>
      <w:tr w14:paraId="25BC515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6E924">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94819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3362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259C1">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142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A9EC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C2760">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144C7">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D5435">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D83AC">
            <w:pPr>
              <w:jc w:val="center"/>
              <w:rPr>
                <w:rFonts w:hint="default" w:ascii="Times New Roman" w:hAnsi="Times New Roman" w:cs="Times New Roman"/>
                <w:b/>
                <w:color w:val="000000" w:themeColor="text1"/>
                <w:sz w:val="20"/>
                <w:szCs w:val="20"/>
                <w14:textFill>
                  <w14:solidFill>
                    <w14:schemeClr w14:val="tx1"/>
                  </w14:solidFill>
                </w14:textFill>
              </w:rPr>
            </w:pPr>
          </w:p>
        </w:tc>
      </w:tr>
      <w:tr w14:paraId="1541130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39813">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C8CF9E">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09540">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C39B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41F5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AB95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4107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82027">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21E69">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575CB">
            <w:pPr>
              <w:jc w:val="center"/>
              <w:rPr>
                <w:rFonts w:hint="default" w:ascii="Times New Roman" w:hAnsi="Times New Roman" w:cs="Times New Roman"/>
                <w:b/>
                <w:color w:val="000000" w:themeColor="text1"/>
                <w:sz w:val="20"/>
                <w:szCs w:val="20"/>
                <w14:textFill>
                  <w14:solidFill>
                    <w14:schemeClr w14:val="tx1"/>
                  </w14:solidFill>
                </w14:textFill>
              </w:rPr>
            </w:pPr>
          </w:p>
        </w:tc>
      </w:tr>
      <w:tr w14:paraId="27050AF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E421A">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6D93">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DFA9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A76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C77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E4E2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1F2D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53B6">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414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6A0F53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8D0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B44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C63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F4A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21D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475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C04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A19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AF3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3F1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D4B3E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F51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44A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BA0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E0A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88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1BE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12B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72E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56B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AAC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13247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4A3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8FEE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67B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32B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8E1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9DA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E13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32D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3F4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E21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5E7F2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DD9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CC9F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2C2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303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177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32B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6C3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7E8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147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952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22E63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F0A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899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245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4F2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A85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ACE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C70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4C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865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984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704EC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25F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8DC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8AC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CBD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561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0DF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4A8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2EF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336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5AB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B2965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EFA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ECE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E37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9B3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96B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F3E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768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247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CFD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B29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33EDB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025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674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B63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717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8A6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BD0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3A4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65B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67D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9D7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26B56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C6C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B10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E53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791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F1A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187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747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7DD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53D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1CF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03437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8C0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3B2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015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0C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0E8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F40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E3B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779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D2E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BCD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6305E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D2CF">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89D4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986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06E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D0A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FC6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AEB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FC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7DC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82C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6A300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BB1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110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993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487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686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87D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70D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B43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4B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45B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50248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F45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BE3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EA1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2C2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20B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3F5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A3F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005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0E5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F1F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5C3B4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D40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1FE6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8B1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0E9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57B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C7A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87C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8DA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606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358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D3576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48E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0D77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3C3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760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12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566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E25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43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A9B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FA7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F3BD6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1B9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831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370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129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76E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E8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C34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244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B6E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109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DF1F4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066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8F8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07C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3ED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9DF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146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997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BB5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E5E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5DE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B988A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70618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624BA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2B4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CBD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BBD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AB2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1BD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EA9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691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A24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A2CA406">
        <w:tblPrEx>
          <w:tblCellMar>
            <w:top w:w="0" w:type="dxa"/>
            <w:left w:w="0" w:type="dxa"/>
            <w:bottom w:w="0" w:type="dxa"/>
            <w:right w:w="0" w:type="dxa"/>
          </w:tblCellMar>
        </w:tblPrEx>
        <w:trPr>
          <w:trHeight w:val="41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2735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73F9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C386C2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CC4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066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A2B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86F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FC4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DA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56B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34F30B1">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3CB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82797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8E3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C92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B81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FDE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D32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158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25A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37F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86160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A4E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D1C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E7A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BB1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820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C58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E36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638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EEA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F02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032EB2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887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B56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C7A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978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9F1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2D8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32A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511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5A0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E74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1371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C80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C74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953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E90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E83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27B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31F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B2D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007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A54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9DF8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B3D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870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F38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59E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ABC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E9A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B6B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EE6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F0F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8A2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bl>
    <w:p w14:paraId="7255952D">
      <w:pPr>
        <w:ind w:left="600" w:hanging="600" w:hangingChars="300"/>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14:paraId="4831958C">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8E7B53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9458A3">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支出决算表</w:t>
            </w:r>
          </w:p>
        </w:tc>
      </w:tr>
      <w:tr w14:paraId="0220678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38BFE19">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 xml:space="preserve">重庆市巫溪县应急管理局 </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E61C35A">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4624BC">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E09136">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2700000">
            <w:pPr>
              <w:rPr>
                <w:rFonts w:hint="default" w:ascii="Times New Roman" w:hAnsi="Times New Roman" w:cs="Times New Roman"/>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6A4D78A">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公开03表</w:t>
            </w:r>
          </w:p>
        </w:tc>
      </w:tr>
      <w:tr w14:paraId="13D8BA8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58ABDDF">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17B7875">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F4D708">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7EB8B4">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C000E69">
            <w:pPr>
              <w:rPr>
                <w:rFonts w:hint="default" w:ascii="Times New Roman" w:hAnsi="Times New Roman" w:cs="Times New Roman"/>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918057D">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0902896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6A1AFB">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621D">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08F53">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9956E">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BCF42">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78B72">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34D9C">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对附属单位补助支出</w:t>
            </w:r>
          </w:p>
        </w:tc>
      </w:tr>
      <w:tr w14:paraId="1E7F8C1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D970">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6B07DD">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331C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D8A52">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869C2">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512F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CEEFE">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E0111">
            <w:pPr>
              <w:jc w:val="center"/>
              <w:rPr>
                <w:rFonts w:hint="default" w:ascii="Times New Roman" w:hAnsi="Times New Roman" w:cs="Times New Roman"/>
                <w:b/>
                <w:color w:val="000000" w:themeColor="text1"/>
                <w:sz w:val="20"/>
                <w:szCs w:val="20"/>
                <w14:textFill>
                  <w14:solidFill>
                    <w14:schemeClr w14:val="tx1"/>
                  </w14:solidFill>
                </w14:textFill>
              </w:rPr>
            </w:pPr>
          </w:p>
        </w:tc>
      </w:tr>
      <w:tr w14:paraId="26E4BFA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9698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DE1E0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90BD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AE85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3AA60">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062F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538D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FA607">
            <w:pPr>
              <w:jc w:val="center"/>
              <w:rPr>
                <w:rFonts w:hint="default" w:ascii="Times New Roman" w:hAnsi="Times New Roman" w:cs="Times New Roman"/>
                <w:b/>
                <w:color w:val="000000" w:themeColor="text1"/>
                <w:sz w:val="20"/>
                <w:szCs w:val="20"/>
                <w14:textFill>
                  <w14:solidFill>
                    <w14:schemeClr w14:val="tx1"/>
                  </w14:solidFill>
                </w14:textFill>
              </w:rPr>
            </w:pPr>
          </w:p>
        </w:tc>
      </w:tr>
      <w:tr w14:paraId="3F1B00E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D0B34">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D531C2">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763ED">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AFA6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7F027">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9B179">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B35F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DA8DC">
            <w:pPr>
              <w:jc w:val="center"/>
              <w:rPr>
                <w:rFonts w:hint="default" w:ascii="Times New Roman" w:hAnsi="Times New Roman" w:cs="Times New Roman"/>
                <w:b/>
                <w:color w:val="000000" w:themeColor="text1"/>
                <w:sz w:val="20"/>
                <w:szCs w:val="20"/>
                <w14:textFill>
                  <w14:solidFill>
                    <w14:schemeClr w14:val="tx1"/>
                  </w14:solidFill>
                </w14:textFill>
              </w:rPr>
            </w:pPr>
          </w:p>
        </w:tc>
      </w:tr>
      <w:tr w14:paraId="70D3E3F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BE08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767670">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0D8E9">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81FBB">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8060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EB5A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8980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45CC7">
            <w:pPr>
              <w:jc w:val="center"/>
              <w:rPr>
                <w:rFonts w:hint="default" w:ascii="Times New Roman" w:hAnsi="Times New Roman" w:cs="Times New Roman"/>
                <w:b/>
                <w:color w:val="000000" w:themeColor="text1"/>
                <w:sz w:val="20"/>
                <w:szCs w:val="20"/>
                <w14:textFill>
                  <w14:solidFill>
                    <w14:schemeClr w14:val="tx1"/>
                  </w14:solidFill>
                </w14:textFill>
              </w:rPr>
            </w:pPr>
          </w:p>
        </w:tc>
      </w:tr>
      <w:tr w14:paraId="5675838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C9B07">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729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5B4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1,094.47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AD7B">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494.42</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990A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AA057">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B673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2ED640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F35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FE3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E9D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720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C92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E58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934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86D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35A1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ED7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EB2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3F5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CFC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AD5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36C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F4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0D2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8F8C2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6C0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FC9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1EA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26B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4E9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E8E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90F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FB5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25EF3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E2E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C53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C5B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700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CF2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513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CD9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590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4F794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907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6329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A33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278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B0C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C37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DF9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E49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E6428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37B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2C9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DED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2D5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E60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9D7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AAD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746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2B3D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DDB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4BB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E53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BA1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BFB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0A1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1AC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F7B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A2C5C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EA0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B8AF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C2F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1F8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12D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8B1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C1A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83D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3AF15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E1A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7A9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308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278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E53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8BB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337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C76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AA516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A3B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5B3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443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B41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CA5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0BC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A2E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E8D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4DFF8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19D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AB3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767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2EE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90E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C99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41A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36C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2E5B6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AB7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716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50D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777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C2C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223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333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DE4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BD035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6CA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D81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3F86">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D9F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C57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6EB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C22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915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22FA6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FEE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BAE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D01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3E9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0D3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561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E8C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9E8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F76DF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713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09D8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744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232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901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1B8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408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802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8367F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B48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FA4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19E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B36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DC8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449.11</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7A4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F4B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154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F5B4E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FF415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0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557A5C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41B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4D6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EB38">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394.81</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C94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F2B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045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59801FB">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580D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0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B7F0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F280E5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256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A63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111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D422">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F8D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5D63E38">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CEA3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0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D6A5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0770509">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B13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E61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678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379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79B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0FDF38D">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2B0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09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EC9C4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C7E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80B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FBE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104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819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F84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D95A6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B71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E44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EB1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1E4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22D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4BA0">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33C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FF6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96867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FEB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157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256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BA7C">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3DB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EC3F">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48CE">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377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C0FA9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39C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F3CE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A6C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AF4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481D">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5CB1">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84D7">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0F35">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F2160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83F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2C9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700B">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6F6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14E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B613">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2FF4">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D01A">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bl>
    <w:p w14:paraId="6BC042AE">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14:paraId="7FDB6214">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p w14:paraId="6750AA08">
      <w:pPr>
        <w:rPr>
          <w:rFonts w:hint="default" w:ascii="Times New Roman" w:hAnsi="Times New Roman" w:cs="Times New Roman"/>
          <w:color w:val="000000" w:themeColor="text1"/>
          <w:sz w:val="21"/>
          <w:szCs w:val="21"/>
          <w14:textFill>
            <w14:solidFill>
              <w14:schemeClr w14:val="tx1"/>
            </w14:solidFill>
          </w14:textFill>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D8BD8F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1D010C">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财政拨款收入支出决算总表</w:t>
            </w:r>
          </w:p>
        </w:tc>
      </w:tr>
      <w:tr w14:paraId="6569FE9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A84E878">
            <w:pPr>
              <w:spacing w:line="200" w:lineRule="exact"/>
              <w:rPr>
                <w:rFonts w:hint="default" w:ascii="Times New Roman" w:hAnsi="Times New Roman" w:cs="Times New Roman"/>
                <w:color w:val="000000" w:themeColor="text1"/>
                <w:sz w:val="18"/>
                <w:szCs w:val="18"/>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1F75E84D">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014E66">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286796">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3BC4C15">
            <w:pPr>
              <w:spacing w:line="24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公开04表</w:t>
            </w:r>
          </w:p>
        </w:tc>
      </w:tr>
      <w:tr w14:paraId="1ED2F82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BD1853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2BADE8">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0663C0">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82F88F">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9DCDF0">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7A4D984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E158B">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5AD02">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支     出</w:t>
            </w:r>
          </w:p>
        </w:tc>
      </w:tr>
      <w:tr w14:paraId="3AB1117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A11FF">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620C">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49657">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54A26D">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r>
      <w:tr w14:paraId="6039279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9C8B2">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0BB31">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E5721">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07BE">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FBFA1">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82F8B">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60E4C">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国有资本经营预算财政拨款</w:t>
            </w:r>
          </w:p>
        </w:tc>
      </w:tr>
      <w:tr w14:paraId="5D7A5C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0CC9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4E9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B80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834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AF9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C33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716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FCDC4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82C5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6B7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2EDD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62F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4DC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932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B94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5BDD4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9909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88E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8A5A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24A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F8B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6D5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B06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51E64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DF1A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00F2D">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278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E66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CD4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183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A84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E7E6A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7070B">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F4DC2">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FB9B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F35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42E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F1D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5C8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43DA19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66512">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9A61B">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1D79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FE8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DE4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846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C15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E0991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3CF21">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8BF55">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9F5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D28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42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42D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7ED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BF23F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F6A3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1DDE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EB7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13C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152.55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680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152.55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1A2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7E1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81435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1AC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E0B32">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D592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4EC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530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302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F4A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75E7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4C5AF">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174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5C49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134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45.30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24A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45.30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608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C24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6CE35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5C48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652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819A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34C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3C4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EC5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6E7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C4454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2611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E979">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EBDF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27C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044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681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DE6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2627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901D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6852">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02F3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B35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572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531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A6B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FBE2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5130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6581">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298E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A28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9B0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471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3F8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68DA4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B8DB3">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6BCB">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6701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67D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04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728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88A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50C3F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94758">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E2FA">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D1EB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15D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1EC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248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140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D2820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925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857F">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C980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849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CAA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2B3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4E7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35CF8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0BEAA">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4BF2">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AA4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BC9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9C7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939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2EB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E01C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669C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F11C">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0F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32E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FB9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710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754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CE967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4E80F">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5032">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5A6A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1CD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A28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8EE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392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11FEE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2E7D">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F517">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F8A2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036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EFB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706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DC6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A126C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A80B1">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76A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745C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2E5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1,289.68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B50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1,289.68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E14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36A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75C3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24F2">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3916">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3558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C28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A56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DCB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B67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061B0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173A09">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3956">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0BC4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33F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F77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4FA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899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50F6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F5EA82">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B44A">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D36C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7C0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0C9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B5A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ABF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1698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5BFE95">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2C33">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0F13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DA7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AEA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344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7CA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1C22C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3BF2A">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59F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14E9">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2F7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837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FB3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E42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7B35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DB7C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341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94B4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973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2B5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65B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81B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307BC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E491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74F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EDBBC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0A908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92B4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E7029">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118BB">
            <w:pPr>
              <w:spacing w:line="200" w:lineRule="exact"/>
              <w:rPr>
                <w:rFonts w:hint="default" w:ascii="Times New Roman" w:hAnsi="Times New Roman" w:cs="Times New Roman"/>
                <w:color w:val="000000" w:themeColor="text1"/>
                <w:sz w:val="18"/>
                <w:szCs w:val="18"/>
                <w14:textFill>
                  <w14:solidFill>
                    <w14:schemeClr w14:val="tx1"/>
                  </w14:solidFill>
                </w14:textFill>
              </w:rPr>
            </w:pPr>
          </w:p>
        </w:tc>
      </w:tr>
      <w:tr w14:paraId="233186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A4DD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3DD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3DA6">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9EC4">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C772">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B316">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D05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45EF14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C0E9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2B3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4B3F6">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1DCC">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C51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9C6B">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86F3">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2570E0EA">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46C4">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C53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9E8D8">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428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F90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FF9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489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bl>
    <w:p w14:paraId="3ABC65F0">
      <w:pPr>
        <w:spacing w:line="24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320178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34C029E">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一般公共预算财政拨款支出决算表</w:t>
            </w:r>
          </w:p>
        </w:tc>
      </w:tr>
      <w:tr w14:paraId="6920A20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3AB3165">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05DAAA0">
            <w:pPr>
              <w:rPr>
                <w:rFonts w:hint="default" w:ascii="Times New Roman" w:hAnsi="Times New Roman" w:cs="Times New Roman"/>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E59A8F9">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公开05表</w:t>
            </w:r>
          </w:p>
        </w:tc>
      </w:tr>
      <w:tr w14:paraId="6B68114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9298667">
            <w:pPr>
              <w:rPr>
                <w:rFonts w:hint="default" w:ascii="Times New Roman" w:hAnsi="Times New Roman" w:cs="Times New Roman"/>
                <w:color w:val="000000" w:themeColor="text1"/>
                <w:sz w:val="20"/>
                <w:szCs w:val="20"/>
                <w14:textFill>
                  <w14:solidFill>
                    <w14:schemeClr w14:val="tx1"/>
                  </w14:solidFill>
                </w14:textFill>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7990E26">
            <w:pPr>
              <w:rPr>
                <w:rFonts w:hint="default" w:ascii="Times New Roman" w:hAnsi="Times New Roman" w:cs="Times New Roman"/>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EA3CF4">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4F2AB04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EC0F5">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6B8F13">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r>
      <w:tr w14:paraId="162A75B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58FE7">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A0970D">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A3079">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B61BF">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5E69E">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r>
      <w:tr w14:paraId="560A3D3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DCAE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DE661">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5614D">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541D3">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C8279">
            <w:pPr>
              <w:jc w:val="center"/>
              <w:rPr>
                <w:rFonts w:hint="default" w:ascii="Times New Roman" w:hAnsi="Times New Roman" w:cs="Times New Roman"/>
                <w:b/>
                <w:color w:val="000000" w:themeColor="text1"/>
                <w:sz w:val="20"/>
                <w:szCs w:val="20"/>
                <w14:textFill>
                  <w14:solidFill>
                    <w14:schemeClr w14:val="tx1"/>
                  </w14:solidFill>
                </w14:textFill>
              </w:rPr>
            </w:pPr>
          </w:p>
        </w:tc>
      </w:tr>
      <w:tr w14:paraId="763A086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36165">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247E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FD4B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D853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F2361">
            <w:pPr>
              <w:jc w:val="center"/>
              <w:rPr>
                <w:rFonts w:hint="default" w:ascii="Times New Roman" w:hAnsi="Times New Roman" w:cs="Times New Roman"/>
                <w:b/>
                <w:color w:val="000000" w:themeColor="text1"/>
                <w:sz w:val="20"/>
                <w:szCs w:val="20"/>
                <w14:textFill>
                  <w14:solidFill>
                    <w14:schemeClr w14:val="tx1"/>
                  </w14:solidFill>
                </w14:textFill>
              </w:rPr>
            </w:pPr>
          </w:p>
        </w:tc>
      </w:tr>
      <w:tr w14:paraId="7D95FBE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00B7A">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7C58E">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EEF6">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1,094.47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60B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494.42</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6C56C6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94D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7A64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6A6B">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C1C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7C9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5C902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1A2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371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0E2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D950">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F8A3">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64206C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72A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D4CF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4A9B0">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DEB0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E478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27DDF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315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9E1E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856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6CB7">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824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AED2A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D767">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6B1A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F8EE">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5A8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7C8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77C43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4A58">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01CB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BEDC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BAE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FB36">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77133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0D1F">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D8CD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0A1D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724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7C0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0243E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0BB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B8CC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9B84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040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4BF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71210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EC3F">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B3C1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81A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331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E9F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D0ABE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226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96F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768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8E91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8EE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62C02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3802">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C92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95AB">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FCE1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5DEE">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51D158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BD4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E3B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4CB7">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5920">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002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E085C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92E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6803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968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173F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8D42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1ABD3B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FD5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A60E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573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55A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4A016">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90943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50FC">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AF61">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696E">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EEB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FA1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424871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B574">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7E0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151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1120">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A80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449.11</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4504D2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E73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1926">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4493">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2D8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69C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394.81</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4677E5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BE1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C4C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AEB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8F7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1E5B">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772518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F490">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4EA5">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CD37">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E20A">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694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2690B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F6F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125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891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71C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7F4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D8222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543140D">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B738F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80574C">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B032E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6CD086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3E5D9FF5">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BA4E3">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945CA">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C7D8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3282E">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DB4E8">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r>
      <w:tr w14:paraId="564D6667">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3709B">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4295F">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5F3F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06B1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5F64B">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14:paraId="543E10A3">
        <w:tblPrEx>
          <w:tblCellMar>
            <w:top w:w="0" w:type="dxa"/>
            <w:left w:w="0" w:type="dxa"/>
            <w:bottom w:w="0" w:type="dxa"/>
            <w:right w:w="0" w:type="dxa"/>
          </w:tblCellMar>
        </w:tblPrEx>
        <w:trPr>
          <w:trHeight w:val="308" w:hRule="atLeast"/>
        </w:trPr>
        <w:tc>
          <w:tcPr>
            <w:tcW w:w="60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708E">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78FA39">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FFEA6">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3B68B2">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DD4F85">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r>
    </w:tbl>
    <w:p w14:paraId="151BACE8">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14:paraId="46664E37">
      <w:pPr>
        <w:ind w:firstLine="630" w:firstLineChars="3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A3B4D8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1D9AB26">
            <w:pPr>
              <w:spacing w:line="44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一般公共预算财政拨款基本支出决算表</w:t>
            </w:r>
          </w:p>
        </w:tc>
      </w:tr>
      <w:tr w14:paraId="4486253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8ACA7E0">
            <w:pPr>
              <w:spacing w:line="200" w:lineRule="exact"/>
              <w:rPr>
                <w:rFonts w:hint="default" w:ascii="Times New Roman" w:hAnsi="Times New Roman" w:cs="Times New Roman"/>
                <w:color w:val="000000" w:themeColor="text1"/>
                <w:sz w:val="18"/>
                <w:szCs w:val="18"/>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5638FB0">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6C6055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2E8C0B8">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28BEF8">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78E883">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公开06表</w:t>
            </w:r>
          </w:p>
        </w:tc>
      </w:tr>
      <w:tr w14:paraId="16FB4D9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46FD36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336F163">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250F520">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FF39F3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C0D9965">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D66471">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2AE4D5B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99068">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2CF14D">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公用经费</w:t>
            </w:r>
          </w:p>
        </w:tc>
      </w:tr>
      <w:tr w14:paraId="5719190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BA505">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F2C77">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09810">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7607F">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08F94">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4FFCC">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30D34">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4B263">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968ED">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r>
      <w:tr w14:paraId="6CB62EB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FE81A">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85BD1">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E7086">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4BABD">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EA200">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453E3">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36685">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3CFAA">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048CB">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r>
      <w:tr w14:paraId="6BBBDF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8D2D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CC24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177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918.59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1EC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0019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6F4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146.18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AB72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E24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011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BE476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5CF7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6B84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F85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229.17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D7C9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2281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FD1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16.51</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F7DA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8D18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215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4EEA71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EBBB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9C6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2AA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142.46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C59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FFA4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3E1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D084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CA2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C4A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0464C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E56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A5C5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DF0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136.15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55A7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09B8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493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04E3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0FA2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FC0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E54A8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052A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345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B4C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D902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E673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54D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4DF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A170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F06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1E168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8BE3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9DE5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F95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185.47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4971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37D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E79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6399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88AB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6F9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4CA02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AD44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163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597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78.97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51C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6CD8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335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11.07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39A5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CF7C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798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DEC2A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60C2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DA4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8B8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43.05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59B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45D8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62B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6.66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75B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3B1B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A59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1B741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3445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449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953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6BD6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5CCB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71A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3A74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576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19A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A1C7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C029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5466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45A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4D5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E316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239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4E5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1A23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B7A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99059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6F3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6AA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B96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1.97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706F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F2FC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6FB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9.72</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E29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2588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345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CCDBE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7314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D8D7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ABF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61BE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DA53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FBA3">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9C14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D072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00C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4CA31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E11C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631C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E17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0B45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6673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DA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9.99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833B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58D2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C78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3F56C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0E58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20EE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2EF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E4B0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6DBF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43B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1C0D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02FE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0E5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C7432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F3E1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2936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83A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29.70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054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D6A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2CF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F9CA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CCF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2E2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5A751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BB4B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59A4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B91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306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D898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DE8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0.86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01D9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554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4C4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7A39C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9772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CA6C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FCC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29.67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F490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4D05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B33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5.79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3512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8F2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163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7A109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62B1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1C1D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3767">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ECE1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E167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A7ED">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6DA7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F51D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DB8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3885A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2F9B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14B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D9F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B9EB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09B4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971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D07B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54DD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B0A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14F5FB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7912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65EA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2419">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9D0C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8D8E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992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4936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1958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89A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B4D37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1254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20EE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902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4FED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1F75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2E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5C37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AD90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400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B867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7CE7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8468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A296">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0.04</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DA10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1B56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648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B9DD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15A3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F94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74F8C6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9A59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FCB4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107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74A2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BF9D">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9F35">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8CD0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BF0A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A04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7CC5D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DAA7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A4C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004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789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6920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506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5.13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CE42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8092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39B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512155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D439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72123">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4A0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07AB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7ABF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8E6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15.37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9264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C4F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DA3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6C037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76577">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05AD0">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838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694A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507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C90A">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24.93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FDB75">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16CA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76F0">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2FCC45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9A71E">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4271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6BB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E8F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A086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6ECC">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3B8F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08C4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5DA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0B9607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06A16">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DA700">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B97F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86C12">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F785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5DC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AA95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53B5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8DC8">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3C2925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74B9D">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A739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B7CC7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D69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1609">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DCA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3DC7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C17E8">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8E1">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14:paraId="697A7E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5D6D1">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A4599">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FA59E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DA381">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58A06">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610E">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73201">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78E2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15F3">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503552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66DD">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68440">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D9EF3">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E8DE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FFDAF">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2954">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AEA25">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31D5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B058">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4DD5B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0641">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BE693">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BA0FC">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AD3DA">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74A0B">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02FB">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BE7AE">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D6F9">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1AEB">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78A923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AC40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FBD9">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91BF7">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C6A1C">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E1664">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4552">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6BCBA">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1A754">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54A5">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14:paraId="28A8F4A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6516F">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E8532">
            <w:pPr>
              <w:wordWrap w:val="0"/>
              <w:spacing w:line="200" w:lineRule="exact"/>
              <w:jc w:val="right"/>
              <w:textAlignment w:val="bottom"/>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948.29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3D12A1">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FAAF">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146.18</w:t>
            </w:r>
            <w:r>
              <w:rPr>
                <w:rFonts w:hint="default" w:ascii="Times New Roman" w:hAnsi="Times New Roman" w:cs="Times New Roman"/>
                <w:color w:val="000000" w:themeColor="text1"/>
                <w:sz w:val="18"/>
                <w:u w:color="auto"/>
                <w14:textFill>
                  <w14:solidFill>
                    <w14:schemeClr w14:val="tx1"/>
                  </w14:solidFill>
                </w14:textFill>
              </w:rPr>
              <w:t xml:space="preserve"> </w:t>
            </w:r>
          </w:p>
        </w:tc>
      </w:tr>
    </w:tbl>
    <w:p w14:paraId="477F7816">
      <w:pPr>
        <w:spacing w:line="28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490E54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9E64CA">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政府性基金预算财政拨款收入支出决算表</w:t>
            </w:r>
          </w:p>
        </w:tc>
      </w:tr>
      <w:tr w14:paraId="0328F01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4FFEF76">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356D892">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0358CC">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F800FA">
            <w:pPr>
              <w:rPr>
                <w:rFonts w:hint="default" w:ascii="Times New Roman" w:hAnsi="Times New Roman" w:cs="Times New Roman"/>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5BCDFAC">
            <w:pPr>
              <w:rPr>
                <w:rFonts w:hint="default" w:ascii="Times New Roman" w:hAnsi="Times New Roman" w:cs="Times New Roman"/>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3C4C99D">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公开07表</w:t>
            </w:r>
          </w:p>
        </w:tc>
      </w:tr>
      <w:tr w14:paraId="0D43590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01B01B">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CDC85C">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2C3B26">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4BBC4A">
            <w:pPr>
              <w:rPr>
                <w:rFonts w:hint="default" w:ascii="Times New Roman" w:hAnsi="Times New Roman" w:cs="Times New Roman"/>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4947B9">
            <w:pPr>
              <w:rPr>
                <w:rFonts w:hint="default" w:ascii="Times New Roman" w:hAnsi="Times New Roman" w:cs="Times New Roman"/>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EA97B28">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775F071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ECAFB">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A26EA6">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CA459">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6BCF25">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158DC">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年末结转和结余</w:t>
            </w:r>
          </w:p>
        </w:tc>
      </w:tr>
      <w:tr w14:paraId="2E5F42D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C59AB">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09AAC">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4B210B">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4DE5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5870D">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6BC92">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E9A42">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16C4C">
            <w:pPr>
              <w:jc w:val="center"/>
              <w:rPr>
                <w:rFonts w:hint="default" w:ascii="Times New Roman" w:hAnsi="Times New Roman" w:cs="Times New Roman"/>
                <w:b/>
                <w:color w:val="000000" w:themeColor="text1"/>
                <w:sz w:val="20"/>
                <w:szCs w:val="20"/>
                <w14:textFill>
                  <w14:solidFill>
                    <w14:schemeClr w14:val="tx1"/>
                  </w14:solidFill>
                </w14:textFill>
              </w:rPr>
            </w:pPr>
          </w:p>
        </w:tc>
      </w:tr>
      <w:tr w14:paraId="441CF3F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5BDF2">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D552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1C5A6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883A3">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EABC3">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D96BB">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52EC9">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3050B">
            <w:pPr>
              <w:jc w:val="center"/>
              <w:rPr>
                <w:rFonts w:hint="default" w:ascii="Times New Roman" w:hAnsi="Times New Roman" w:cs="Times New Roman"/>
                <w:b/>
                <w:color w:val="000000" w:themeColor="text1"/>
                <w:sz w:val="20"/>
                <w:szCs w:val="20"/>
                <w14:textFill>
                  <w14:solidFill>
                    <w14:schemeClr w14:val="tx1"/>
                  </w14:solidFill>
                </w14:textFill>
              </w:rPr>
            </w:pPr>
          </w:p>
        </w:tc>
      </w:tr>
      <w:tr w14:paraId="771A4E0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9CF3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A6F1D">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133004">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58F81">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0851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8F5E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FCDB1">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976F9">
            <w:pPr>
              <w:jc w:val="center"/>
              <w:rPr>
                <w:rFonts w:hint="default" w:ascii="Times New Roman" w:hAnsi="Times New Roman" w:cs="Times New Roman"/>
                <w:b/>
                <w:color w:val="000000" w:themeColor="text1"/>
                <w:sz w:val="20"/>
                <w:szCs w:val="20"/>
                <w14:textFill>
                  <w14:solidFill>
                    <w14:schemeClr w14:val="tx1"/>
                  </w14:solidFill>
                </w14:textFill>
              </w:rPr>
            </w:pPr>
          </w:p>
        </w:tc>
      </w:tr>
      <w:tr w14:paraId="03C22E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7BE9E">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F531">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217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328F7">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C523">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1EBD">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70AF">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bl>
    <w:p w14:paraId="3B6BC4E8">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000000" w:themeColor="text1"/>
          <w:sz w:val="20"/>
          <w:szCs w:val="20"/>
          <w14:textFill>
            <w14:solidFill>
              <w14:schemeClr w14:val="tx1"/>
            </w14:solidFill>
          </w14:textFill>
        </w:rPr>
        <w:br w:type="textWrapping"/>
      </w:r>
    </w:p>
    <w:p w14:paraId="51F97862">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CB2CB2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0D3164">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国有资本经营预算财政拨款支出决算表</w:t>
            </w:r>
          </w:p>
        </w:tc>
      </w:tr>
      <w:tr w14:paraId="054FE78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28EB20C">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968C2D">
            <w:pPr>
              <w:rPr>
                <w:rFonts w:hint="default" w:ascii="Times New Roman" w:hAnsi="Times New Roman" w:cs="Times New 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FB788F">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公开08表</w:t>
            </w:r>
          </w:p>
        </w:tc>
      </w:tr>
      <w:tr w14:paraId="04DA90B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1462392">
            <w:pPr>
              <w:rPr>
                <w:rFonts w:hint="default" w:ascii="Times New Roman" w:hAnsi="Times New Roman" w:cs="Times New Roman"/>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135BCBF">
            <w:pPr>
              <w:rPr>
                <w:rFonts w:hint="default" w:ascii="Times New Roman" w:hAnsi="Times New Roman" w:cs="Times New 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0806348">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5A3394E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F12796">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6017A7">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r>
      <w:tr w14:paraId="414AFE9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AC41F">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65546">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E3C45">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DA977">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9D12E">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r>
      <w:tr w14:paraId="65D29B4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F725C">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4C68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4C638">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82CF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D2C49E">
            <w:pPr>
              <w:jc w:val="center"/>
              <w:rPr>
                <w:rFonts w:hint="default" w:ascii="Times New Roman" w:hAnsi="Times New Roman" w:cs="Times New Roman"/>
                <w:b/>
                <w:color w:val="000000" w:themeColor="text1"/>
                <w:sz w:val="20"/>
                <w:szCs w:val="20"/>
                <w14:textFill>
                  <w14:solidFill>
                    <w14:schemeClr w14:val="tx1"/>
                  </w14:solidFill>
                </w14:textFill>
              </w:rPr>
            </w:pPr>
          </w:p>
        </w:tc>
      </w:tr>
      <w:tr w14:paraId="1013CCE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32E97">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9424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5DBFE">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5BD8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75393">
            <w:pPr>
              <w:jc w:val="center"/>
              <w:rPr>
                <w:rFonts w:hint="default" w:ascii="Times New Roman" w:hAnsi="Times New Roman" w:cs="Times New Roman"/>
                <w:b/>
                <w:color w:val="000000" w:themeColor="text1"/>
                <w:sz w:val="20"/>
                <w:szCs w:val="20"/>
                <w14:textFill>
                  <w14:solidFill>
                    <w14:schemeClr w14:val="tx1"/>
                  </w14:solidFill>
                </w14:textFill>
              </w:rPr>
            </w:pPr>
          </w:p>
        </w:tc>
      </w:tr>
      <w:tr w14:paraId="77846C1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A6CBA">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90DC4">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5EC3F">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DF366">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AFF64">
            <w:pPr>
              <w:jc w:val="center"/>
              <w:rPr>
                <w:rFonts w:hint="default" w:ascii="Times New Roman" w:hAnsi="Times New Roman" w:cs="Times New Roman"/>
                <w:b/>
                <w:color w:val="000000" w:themeColor="text1"/>
                <w:sz w:val="20"/>
                <w:szCs w:val="20"/>
                <w14:textFill>
                  <w14:solidFill>
                    <w14:schemeClr w14:val="tx1"/>
                  </w14:solidFill>
                </w14:textFill>
              </w:rPr>
            </w:pPr>
          </w:p>
        </w:tc>
      </w:tr>
      <w:tr w14:paraId="126E0DC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28AD0">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5949">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1DAA">
            <w:pPr>
              <w:jc w:val="right"/>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AA94">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bl>
    <w:p w14:paraId="2D787207">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备注：本表反映部门本年度国有资本经营预算财政拨款支出情况。本部门无国有资本经营收支，故本表无数据。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8DBE7B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ECA2DB">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机构运行信息表</w:t>
            </w:r>
          </w:p>
        </w:tc>
      </w:tr>
      <w:tr w14:paraId="5439DA7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A7B2E6E">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09FA9C">
            <w:pPr>
              <w:spacing w:line="280" w:lineRule="exact"/>
              <w:jc w:val="center"/>
              <w:rPr>
                <w:rFonts w:hint="default" w:ascii="Times New Roman" w:hAnsi="Times New Roman" w:cs="Times New Roman"/>
                <w:color w:val="000000" w:themeColor="text1"/>
                <w:sz w:val="20"/>
                <w:szCs w:val="20"/>
                <w14:textFill>
                  <w14:solidFill>
                    <w14:schemeClr w14:val="tx1"/>
                  </w14:solidFill>
                </w14:textFill>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67A1102">
            <w:pPr>
              <w:spacing w:line="28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D6A0CA5">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027806B">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公开09表</w:t>
            </w:r>
          </w:p>
        </w:tc>
      </w:tr>
      <w:tr w14:paraId="1699A33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E41F58">
            <w:pPr>
              <w:spacing w:line="280" w:lineRule="exact"/>
              <w:rPr>
                <w:rFonts w:hint="default" w:ascii="Times New Roman" w:hAnsi="Times New Roman" w:cs="Times New Roman"/>
                <w:color w:val="000000" w:themeColor="text1"/>
                <w:sz w:val="20"/>
                <w:szCs w:val="20"/>
                <w14:textFill>
                  <w14:solidFill>
                    <w14:schemeClr w14:val="tx1"/>
                  </w14:solidFill>
                </w14:textFill>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重庆市巫溪县应急管理局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17526AF">
            <w:pPr>
              <w:spacing w:line="28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0171710">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F81BA88">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14:paraId="6781C32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3156BB">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0F475E">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3730C1">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DA5BA6">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22C65C">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决算数</w:t>
            </w:r>
          </w:p>
        </w:tc>
      </w:tr>
      <w:tr w14:paraId="011F159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62945E">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2DAFC">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7079D">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14FC6C">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4795E">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146.18</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1C63D4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24FB77">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ACE66">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21.16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7D73D">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21.16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2FB64">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95EE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146.18</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3D59B8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988698">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D6761">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6C6A0">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3BA96">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D8993">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0CFCA6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2980D0">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0AF48">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A051A">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147840">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0F9F0">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r>
      <w:tr w14:paraId="6B7AAC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234C9">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5B5F8">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A99F1">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407C6F">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C3CC4">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4   </w:t>
            </w:r>
          </w:p>
        </w:tc>
      </w:tr>
      <w:tr w14:paraId="2882DA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B63880">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B00B4">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30CD8">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AAF9ED">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4421D">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7BF77F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29E85A">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7E26C">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A9B47">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F88C55">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3FA5B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546395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D10EB6">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342C4">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C582A">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B67887">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94947">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4CD7E4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1B06AC">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C9751">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3BCCB">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A5A379">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BA146">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6A5E85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722543">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61B68">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354EC">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3D02A6">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F727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5E67F0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26D6A">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38D43">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31915">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47C4B5">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D9E5C">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334931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CD3264">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58B6A">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3EAA26">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976A0D">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2569B">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7D2FAD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A58D6A">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6D3B1">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FBEE6C">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88C55">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A65D8">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7DEC0D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6E8BE5">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8C87F">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2D9D70">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C2A191">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6BC9F">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7F6836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8DB78B">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F0EC3">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E573E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4</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1703D">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38AB4">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r>
      <w:tr w14:paraId="6AA0F8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D3F430">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81687">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3692B9">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142</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42F296">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8E5FF">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108.00</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5F90D0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C92F31">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5328A">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23553A">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29A017">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BAD16">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2D80B9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184EE4">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9EE53">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EF33B8">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1,145</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DB4CAE">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04B3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473153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1C06C1">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89363">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76EF13">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45777D">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DB376">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108.00</w:t>
            </w: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158778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3B72E8">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46D11">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59873D">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A0D322">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1867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04DDC318">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9F990A">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12D6F">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FC5692">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D8457D">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EEDF5">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14:paraId="05684E1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FB1337">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44D3E">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7C24B">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2.47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536D3C">
            <w:pPr>
              <w:spacing w:line="200" w:lineRule="exact"/>
              <w:rPr>
                <w:rFonts w:hint="default" w:ascii="Times New Roman" w:hAnsi="Times New Roman" w:cs="Times New Roman"/>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67B5D">
            <w:pPr>
              <w:spacing w:line="200" w:lineRule="exact"/>
              <w:jc w:val="right"/>
              <w:rPr>
                <w:rFonts w:hint="default" w:ascii="Times New Roman" w:hAnsi="Times New Roman" w:cs="Times New Roman"/>
                <w:color w:val="000000" w:themeColor="text1"/>
                <w:sz w:val="16"/>
                <w:szCs w:val="16"/>
                <w14:textFill>
                  <w14:solidFill>
                    <w14:schemeClr w14:val="tx1"/>
                  </w14:solidFill>
                </w14:textFill>
              </w:rPr>
            </w:pPr>
          </w:p>
        </w:tc>
      </w:tr>
      <w:tr w14:paraId="21BA988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76F641">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B2EEB">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C7B17">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0.86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AAE09D">
            <w:pPr>
              <w:spacing w:line="200" w:lineRule="exact"/>
              <w:rPr>
                <w:rFonts w:hint="default" w:ascii="Times New Roman" w:hAnsi="Times New Roman" w:cs="Times New Roman"/>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14C35">
            <w:pPr>
              <w:spacing w:line="200" w:lineRule="exact"/>
              <w:jc w:val="right"/>
              <w:rPr>
                <w:rFonts w:hint="default" w:ascii="Times New Roman" w:hAnsi="Times New Roman" w:cs="Times New Roman"/>
                <w:color w:val="000000" w:themeColor="text1"/>
                <w:sz w:val="16"/>
                <w:szCs w:val="16"/>
                <w14:textFill>
                  <w14:solidFill>
                    <w14:schemeClr w14:val="tx1"/>
                  </w14:solidFill>
                </w14:textFill>
              </w:rPr>
            </w:pPr>
          </w:p>
        </w:tc>
      </w:tr>
    </w:tbl>
    <w:p w14:paraId="4A4BDDAA">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B1E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4A53CD">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A4A53CD">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62B8">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F4CBB7">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19</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CF4CBB7">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19</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804318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804318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BF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4941BC1"/>
    <w:multiLevelType w:val="singleLevel"/>
    <w:tmpl w:val="F4941BC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A2CBA"/>
    <w:rsid w:val="01474EBF"/>
    <w:rsid w:val="01F3521E"/>
    <w:rsid w:val="03B87EA0"/>
    <w:rsid w:val="03D17DD3"/>
    <w:rsid w:val="03E3214F"/>
    <w:rsid w:val="044C50BA"/>
    <w:rsid w:val="04A511AD"/>
    <w:rsid w:val="05BC6D49"/>
    <w:rsid w:val="06194FF1"/>
    <w:rsid w:val="06A2550B"/>
    <w:rsid w:val="06F80EE2"/>
    <w:rsid w:val="07001CCA"/>
    <w:rsid w:val="07056973"/>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05CE0"/>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41D53"/>
    <w:rsid w:val="163A6CEE"/>
    <w:rsid w:val="16406F85"/>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E1616"/>
    <w:rsid w:val="21556F04"/>
    <w:rsid w:val="22403BD3"/>
    <w:rsid w:val="23993283"/>
    <w:rsid w:val="23B92F9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9688F"/>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50059"/>
    <w:rsid w:val="348722E9"/>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9605B"/>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F66ED"/>
    <w:rsid w:val="411B6CE5"/>
    <w:rsid w:val="412070D7"/>
    <w:rsid w:val="41314E40"/>
    <w:rsid w:val="41E0734B"/>
    <w:rsid w:val="426C1EA8"/>
    <w:rsid w:val="42736402"/>
    <w:rsid w:val="42E86A87"/>
    <w:rsid w:val="43307B09"/>
    <w:rsid w:val="439A3EB9"/>
    <w:rsid w:val="43BB152F"/>
    <w:rsid w:val="44863314"/>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C02BF"/>
    <w:rsid w:val="5C5D2777"/>
    <w:rsid w:val="5CF66BF3"/>
    <w:rsid w:val="5CFC024C"/>
    <w:rsid w:val="5D290C69"/>
    <w:rsid w:val="5EB5076D"/>
    <w:rsid w:val="5F2D4A41"/>
    <w:rsid w:val="60C74F6C"/>
    <w:rsid w:val="61025A59"/>
    <w:rsid w:val="613C2F36"/>
    <w:rsid w:val="613D5BBC"/>
    <w:rsid w:val="61536C39"/>
    <w:rsid w:val="62944DD7"/>
    <w:rsid w:val="6319381F"/>
    <w:rsid w:val="63401774"/>
    <w:rsid w:val="63C25DC5"/>
    <w:rsid w:val="63C62057"/>
    <w:rsid w:val="64571EF5"/>
    <w:rsid w:val="64FB113D"/>
    <w:rsid w:val="656152C6"/>
    <w:rsid w:val="6587477F"/>
    <w:rsid w:val="658C3A08"/>
    <w:rsid w:val="65BE57E6"/>
    <w:rsid w:val="65C031CA"/>
    <w:rsid w:val="65CE6852"/>
    <w:rsid w:val="66267C04"/>
    <w:rsid w:val="663F505A"/>
    <w:rsid w:val="66EE5541"/>
    <w:rsid w:val="67924660"/>
    <w:rsid w:val="67E21555"/>
    <w:rsid w:val="68407834"/>
    <w:rsid w:val="6883293E"/>
    <w:rsid w:val="688412AD"/>
    <w:rsid w:val="68D414CF"/>
    <w:rsid w:val="68EB1B71"/>
    <w:rsid w:val="6A2B584F"/>
    <w:rsid w:val="6A6C7940"/>
    <w:rsid w:val="6AAD2300"/>
    <w:rsid w:val="6B28705B"/>
    <w:rsid w:val="6B474EF5"/>
    <w:rsid w:val="6BC13086"/>
    <w:rsid w:val="6C0575EC"/>
    <w:rsid w:val="6C0A5AC5"/>
    <w:rsid w:val="6C560CAE"/>
    <w:rsid w:val="6C576495"/>
    <w:rsid w:val="6CC41712"/>
    <w:rsid w:val="6D903FF5"/>
    <w:rsid w:val="6DA955B8"/>
    <w:rsid w:val="6DE346AB"/>
    <w:rsid w:val="6DE5391A"/>
    <w:rsid w:val="6EFD1324"/>
    <w:rsid w:val="6F5A53AC"/>
    <w:rsid w:val="6FAC003D"/>
    <w:rsid w:val="6FE55E12"/>
    <w:rsid w:val="6FFB2E76"/>
    <w:rsid w:val="708F6F7F"/>
    <w:rsid w:val="70D94BD3"/>
    <w:rsid w:val="717D5952"/>
    <w:rsid w:val="71C34D91"/>
    <w:rsid w:val="72DB435C"/>
    <w:rsid w:val="72E2613A"/>
    <w:rsid w:val="72F771F4"/>
    <w:rsid w:val="72FB78F6"/>
    <w:rsid w:val="73934AD2"/>
    <w:rsid w:val="750837F0"/>
    <w:rsid w:val="754758CF"/>
    <w:rsid w:val="764F62AB"/>
    <w:rsid w:val="765C45EC"/>
    <w:rsid w:val="766B4753"/>
    <w:rsid w:val="768A7619"/>
    <w:rsid w:val="772E1EBA"/>
    <w:rsid w:val="77DC5234"/>
    <w:rsid w:val="781926BC"/>
    <w:rsid w:val="796D60A4"/>
    <w:rsid w:val="79A031D5"/>
    <w:rsid w:val="79C33E1B"/>
    <w:rsid w:val="7A1525F7"/>
    <w:rsid w:val="7A6C2163"/>
    <w:rsid w:val="7B420052"/>
    <w:rsid w:val="7BD06A28"/>
    <w:rsid w:val="7C14759B"/>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3"/>
    <w:basedOn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22"/>
    <w:basedOn w:val="9"/>
    <w:qFormat/>
    <w:uiPriority w:val="0"/>
    <w:rPr>
      <w:rFonts w:hint="default" w:ascii="Times New Roman" w:hAnsi="Times New Roman" w:cs="Times New Roman"/>
      <w:b/>
      <w:bCs/>
    </w:rPr>
  </w:style>
  <w:style w:type="paragraph" w:customStyle="1" w:styleId="18">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7823</Words>
  <Characters>8716</Characters>
  <Lines>190</Lines>
  <Paragraphs>53</Paragraphs>
  <TotalTime>24</TotalTime>
  <ScaleCrop>false</ScaleCrop>
  <LinksUpToDate>false</LinksUpToDate>
  <CharactersWithSpaces>8754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2024-12-06T00:54:29Z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EBE411F347E44C5284618F051E161040</vt:lpwstr>
  </property>
</Properties>
</file>