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重庆市巫溪县住房和城乡建设委员会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2023年度决算公开说明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推进住房和城乡建设事业改革发展。贯彻执行住房和城乡建设法律、法规、规章和方针政策。拟订城乡建设中长期发展规划、专项规划和年度计划并组织实施。负责规范城乡建设管理秩序。指导乡镇（街道）住房和城乡建设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2、负责住房和城乡建设财政性资金的监督管理。负责城乡建设配套费等的征收和管理。按规定管理和使用住房和城乡建设维护资金及其他专项资金。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房地产行业的监督管理。牵头落实全市房地产调控政策，拟订全县房地产行业发展规划并组织实施。负责规范房地产开发建设市场秩序、房地产交易市场秩序。贯彻执行房屋交易管理的规章制度。负责房地产开发企业、房地产估价机构资质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建筑行业的监督管理。负责规范建筑市场秩序。负责房屋建筑和市政基础设施工程质量、安全的监督管理，负责或参与工程重大质量安全事故的调查处理和突发事件应急处置，负责建筑企业及从业人员的资质资格管理。负责本地建筑材料价格的管理、收集和上报，监督建设工程造价活动。负责新型建筑材料、建筑机械与设备的应用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勘察设计行业的监督管理。负责规范勘察设计市场秩序。负责建设工程勘察设计企业及从业人员的资质资格管理。负责房屋建筑和市政基础设施工程建设抗震设防的监督管理。指导城市地下空间综合开发利用和城市雕塑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6、负责住房保障工作。贯彻落实住房保障、住房改革政策。负责保障性住房建设的监督管理和协调推进。负责全县公有房屋改革和管理。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统筹推进城市基础设施建设工作。贯彻落实城市道路桥梁隧道及其附属设施等城市基础设施建设政策，拟订规划并组织实施，负责项目的储备、前期工作和协调推进。贯彻落实重点工程建设政策，统筹协调房屋建筑和市政基础设施县级重点项目建设，参与协调其他县级重点项目建设。负责历史文化名城、名镇、名村、街区和传统风貌区的保护建设管理工作。指导历史建筑、传统风貌建筑的修复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负责推进城市提升工作的全面统筹，强化统筹职责，提升统筹能力。贯彻执行城市提升相关政策、规范和标准。牵头推进城市提升行动计划，统筹推进城市提升相关前期工作和项目协调。统筹城市提升项目进度安排、推进实施、监督检查、效果评价等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9、统筹城市人居环境改善工作。负责城市管线的综合管理，建立城市管线综合管理协调机制，统筹城市综合管廊建设与管理。牵头协调推进海绵城市建设。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负责城镇排水与污水处理的监督管理。贯彻落实城镇排水与污水处理政策和标准，拟订规划并组织实施。负责城镇污水处理厂建设运行管理和城镇排水（雨水、污水）管网建设维护管理。负责城镇污水处理费征收的管理工作。负责城镇排水监测的监督管理。牵头负责城市排水防涝工作。指导乡镇（街道）污水处理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负责推进城市修补和有机更新。负责城市老旧功能片区和老旧小区改造提升工作。统筹推进城市棚户区改造。负责城市既有建筑保留利用、更新改造工作，负责国有土地上房屋征收工作。负责房屋使用安全、物业管理活动的监督管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12、指导村镇建设。贯彻落实村镇建设政策。负责指导村镇建设管理工作，组织村镇专项建设示范。指导特色景观旅游名镇名村管理工作。指导农村住房建设和农村危房改造工作。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13、负责建设科技推广应用。负责住房城乡建设新技术示范、推广、应用。负责行业信息化、智能化等管理工作。贯彻执行工程建设地方标准。推进建筑产业现代化，负责工程建设标准化工作。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14、负责绿色建筑与建筑节能管理。贯彻落实绿色建筑与建筑节能政策。承担绿色建筑评价及建筑能效测评标识管理。推进建筑节能发展。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15、负责建设工程消防设计审查验收相关工作。贯彻执行建设工程消防设计审查验收政策。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16、负责住房城乡建设领域综合行政执法，具体交由相关行政执法队伍承担，并以部门名义统一执法。指导乡镇（街道）相关综合行政执法工作。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17、负责住房和城建档案管理，指导行业人才队伍建设，承担建筑工程专业技术资格管理工作。负责本领域对外交流与合作。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18、贯彻人民防空法律、法规并实施监督检查，拟订人防建设中长期发展规划，拟订人民防空袭方案并组织演练。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19、建设和管理人民防空工程、通信设备、警报系统，落实“平战结合”方针，战时指挥城市人民开展防空袭斗争。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20、负责机关、所属单位和行业社会组织党建工作。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21、完成县委、县政府交办的其他任务。</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22、为建设工程提供质量监督保障；质量监督监理；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工程建设项目监督管理；建筑材料构配件进行抽样检验；对建设单位的竣工验收实施监督。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巫溪县住房和城乡建设委员会隶属巫溪县人民政府主管。内设办公室、住房管理科、建筑管理科（行政审批科）、城市建设科（消防科）、村镇建设科、设计与绿色建筑发展科。下属事业单位：巫溪县住房和城乡建设委员会行政执法支队、巫溪县建设工程施工安全管理站、巫溪县村镇建设服务中心、巫溪县排水事务中心和巫溪县建设工程质量监督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b/>
          <w:bCs/>
          <w:sz w:val="32"/>
          <w:szCs w:val="32"/>
        </w:rPr>
        <w:t>1.总体情况。</w:t>
      </w:r>
      <w:r>
        <w:rPr>
          <w:rFonts w:hint="eastAsia" w:ascii="方正仿宋_GBK" w:hAnsi="方正仿宋_GBK" w:eastAsia="方正仿宋_GBK" w:cs="方正仿宋_GBK"/>
          <w:sz w:val="32"/>
          <w:szCs w:val="32"/>
        </w:rPr>
        <w:t>2023年度收入总计13965.90万元，支出总计13965.90万元。收支较上年决算数增加1941.66万元，增长16.15%，主要原因</w:t>
      </w:r>
      <w:r>
        <w:rPr>
          <w:rFonts w:hint="eastAsia" w:ascii="方正仿宋_GBK" w:hAnsi="方正仿宋_GBK" w:eastAsia="方正仿宋_GBK" w:cs="方正仿宋_GBK"/>
          <w:sz w:val="32"/>
          <w:szCs w:val="32"/>
          <w:lang w:val="en-US" w:eastAsia="zh-CN"/>
        </w:rPr>
        <w:t>一是基本支出增加19.34万元，职工正常晋升调资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是项目支出增加1922.32万元，其中：棚户区改造资金减少588万元，老旧小区改造资金增加495.2万元，污水处理厂整修资金减少453.25万元，农村危房改造减少23万元，自然灾害风险普查减少5万元，遗属人员补助减少1.69万元，北门水街项目增加300万元，污水处理、污泥处理、排水管网涵洞水篦子维护减少141.31万元，建筑工程质量监督管理支出减少3.03万元建设工程安全管理支出减少2.6万元，雨污分流及管网升级项目增加2400万元，消防备案、验收购买减少10万元，人防减少50万元，设计下乡减少25万元，智慧工地增加30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2023年度收入合计13965.90万元，较上年决算数增加1941.66万元，增长16.15%，主要原因</w:t>
      </w:r>
      <w:r>
        <w:rPr>
          <w:rFonts w:hint="eastAsia" w:ascii="方正仿宋_GBK" w:hAnsi="方正仿宋_GBK" w:eastAsia="方正仿宋_GBK" w:cs="方正仿宋_GBK"/>
          <w:sz w:val="32"/>
          <w:szCs w:val="32"/>
          <w:lang w:val="en-US" w:eastAsia="zh-CN"/>
        </w:rPr>
        <w:t>一是基本支出增加19.34万元，职工正常晋升调资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是项目支出增加1922.32万元，其中：棚户区改造资金减少588万元，老旧小区改造资金增加495.2万元，污水处理厂整修资金减少453.25万元，农村危房改造减少23万元，自然灾害风险普查减少5万元，遗属人员补助减少1.69万元，北门水街项目增加300万元，污水处理、污泥处理、排水管网涵洞水篦子维护减少141.31万元，建筑工程质量监督管理支出减少3.03万元建设工程安全管理支出减少2.6万元，雨污分流及管网升级项目增加2400万元，消防备案、验收购买减少10万元，人防减少50万元，设计下乡减少25万元，智慧工地增加30万元。</w:t>
      </w:r>
      <w:r>
        <w:rPr>
          <w:rFonts w:hint="eastAsia" w:ascii="方正仿宋_GBK" w:hAnsi="方正仿宋_GBK" w:eastAsia="方正仿宋_GBK" w:cs="方正仿宋_GBK"/>
          <w:sz w:val="32"/>
          <w:szCs w:val="32"/>
        </w:rPr>
        <w:t>其中：财政拨款收入13965.90万元，占100.00%；事业收入0.00万元，占0.00%；经营收入0.00万元，占0.00%；其他收入0.00万元，占0.00%。此外，使用非财政拨款结余和专用结余0.00万元，年初结转和结余0.00万元。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。2023年度支出合计13965.90万元，较上年决算数增加1941.66万元，增长16.15%，主要原因</w:t>
      </w:r>
      <w:r>
        <w:rPr>
          <w:rFonts w:hint="eastAsia" w:ascii="方正仿宋_GBK" w:hAnsi="方正仿宋_GBK" w:eastAsia="方正仿宋_GBK" w:cs="方正仿宋_GBK"/>
          <w:sz w:val="32"/>
          <w:szCs w:val="32"/>
          <w:lang w:val="en-US" w:eastAsia="zh-CN"/>
        </w:rPr>
        <w:t>一是基本支出增加19.34万元，职工正常晋升调资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是项目支出增加1922.32万元，其中：棚户区改造资金减少588万元，老旧小区改造资金增加495.2万元，污水处理厂整修资金减少453.25万元，农村危房改造减少23万元，自然灾害风险普查减少5万元，遗属人员补助减少1.69万元，北门水街项目增加300万元，污水处理、污泥处理、排水管网涵洞水篦子维护减少141.31万元，建筑工程质量监督管理支出减少3.03万元建设工程安全管理支出减少2.6万元，雨污分流及管网升级项目增加2400万元，消防备案、验收购买减少10万元，人防减少50万元，设计下乡减少25万元，智慧工地增加30万元。</w:t>
      </w:r>
      <w:r>
        <w:rPr>
          <w:rFonts w:hint="eastAsia" w:ascii="方正仿宋_GBK" w:hAnsi="方正仿宋_GBK" w:eastAsia="方正仿宋_GBK" w:cs="方正仿宋_GBK"/>
          <w:sz w:val="32"/>
          <w:szCs w:val="32"/>
        </w:rPr>
        <w:t>其中：基本支出1512.48万元，占10.83%；项目支出12453.42万元，占89.17%；经营支出0.00万元，占0.00%。此外，结余分配0.00万元。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4.结转结余情况。</w:t>
      </w:r>
      <w:r>
        <w:rPr>
          <w:rFonts w:hint="eastAsia" w:ascii="方正仿宋_GBK" w:hAnsi="方正仿宋_GBK" w:eastAsia="方正仿宋_GBK" w:cs="方正仿宋_GBK"/>
          <w:sz w:val="32"/>
          <w:szCs w:val="32"/>
        </w:rPr>
        <w:t>2023年度年末结转和结余0.00万元，较上年决算数无增减，主要原因是202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年实行零结转</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2023年度财政拨款收、支总计13965.90万元。与2022年相比，财政拨款收、支总计各增加1941.66万元，增长16.15%。主要原因是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一是基本支出增加19.34万元，职工正常晋升调资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是项目支出增加1922.32万元，其中：棚户区改造资金减少588万元，老旧小区改造资金增加495.2万元，污水处理厂整修资金减少453.25万元，农村危房改造减少23万元，自然灾害风险普查减少5万元，遗属人员补助减少1.69万元，北门水街项目增加300万元，污水处理、污泥处理、排水管网涵洞水篦子维护减少141.31万元，建筑工程质量监督管理支出减少3.03万元建设工程安全管理支出减少2.6万元，雨污分流及管网升级项目增加2400万元，消防备案、验收购买减少10万元，人防减少50万元，设计下乡减少25万元，智慧工地增加30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。2023年度一般公共预算财政拨款收入13965.90万元，较上年决算数增加1966.66万元，增长16.39%。主要原因</w:t>
      </w:r>
      <w:r>
        <w:rPr>
          <w:rFonts w:hint="eastAsia" w:ascii="方正仿宋_GBK" w:hAnsi="方正仿宋_GBK" w:eastAsia="方正仿宋_GBK" w:cs="方正仿宋_GBK"/>
          <w:sz w:val="32"/>
          <w:szCs w:val="32"/>
          <w:lang w:val="en-US" w:eastAsia="zh-CN"/>
        </w:rPr>
        <w:t>一是基本支出增加19.34万元，职工正常晋升调资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是项目支出增加1947.32万元，其中：棚户区改造资金减少588万元，老旧小区改造资金增加495.2万元，污水处理厂整修资金减少453.25万元，农村危房改造减少23万元，自然灾害风险普查减少5万元，遗属人员补助减少1.69万元，北门水街项目增加300万元，污水处理、污泥处理、排水管网涵洞水篦子维护减少141.31万元，建筑工程质量监督管理支出减少3.03万元建设工程安全管理支出减少2.6万元，雨污分流及管网升级项目增加2400万元，消防备案、验收购买减少10万元，人防减少50万元，智慧工地增加30万元。</w:t>
      </w:r>
      <w:r>
        <w:rPr>
          <w:rFonts w:hint="eastAsia" w:ascii="方正仿宋_GBK" w:hAnsi="方正仿宋_GBK" w:eastAsia="方正仿宋_GBK" w:cs="方正仿宋_GBK"/>
          <w:sz w:val="32"/>
          <w:szCs w:val="32"/>
        </w:rPr>
        <w:t>较年初预算数增加4385.04万元，增长45.77%。主要原因</w:t>
      </w:r>
      <w:r>
        <w:rPr>
          <w:rFonts w:hint="eastAsia" w:ascii="方正仿宋_GBK" w:hAnsi="方正仿宋_GBK" w:eastAsia="方正仿宋_GBK" w:cs="方正仿宋_GBK"/>
          <w:sz w:val="32"/>
          <w:szCs w:val="32"/>
          <w:lang w:val="en-US" w:eastAsia="zh-CN"/>
        </w:rPr>
        <w:t>是基本支出增加30.3万元（主要是职工工资正常晋升调资），项目支出增加4354.74万元（主要是老旧小区增加4670.87万元；污水管网综合整治工程增加2400万元；六项创建增加300万元；污水处理、污泥处理、排水管网涵洞水篦子维护调减103.35万元；建筑工程质量监督管理支出调减3.03万元；污水处理厂整修项目调减51.75万元；保障性社会租赁住房筹集补助项目调减745万元；保障性住房维修整改、完善基础配套、装饰装修项目调减2045万元；农村危房改造项目调减68万元等）。</w:t>
      </w:r>
      <w:r>
        <w:rPr>
          <w:rFonts w:hint="eastAsia" w:ascii="方正仿宋_GBK" w:hAnsi="方正仿宋_GBK" w:eastAsia="方正仿宋_GBK" w:cs="方正仿宋_GBK"/>
          <w:sz w:val="32"/>
          <w:szCs w:val="32"/>
        </w:rPr>
        <w:t>此外，年初财政拨款结转和结余0.00万元。</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2.支出情况。</w:t>
      </w:r>
      <w:r>
        <w:rPr>
          <w:rFonts w:hint="eastAsia" w:ascii="方正仿宋_GBK" w:hAnsi="方正仿宋_GBK" w:eastAsia="方正仿宋_GBK" w:cs="方正仿宋_GBK"/>
          <w:sz w:val="32"/>
          <w:szCs w:val="32"/>
        </w:rPr>
        <w:t>2023年度一般公共预算财政拨款支出13965.90万元，较上年决算数增加1966.66万元，增长16.39%。主要原因</w:t>
      </w:r>
      <w:r>
        <w:rPr>
          <w:rFonts w:hint="eastAsia" w:ascii="方正仿宋_GBK" w:hAnsi="方正仿宋_GBK" w:eastAsia="方正仿宋_GBK" w:cs="方正仿宋_GBK"/>
          <w:sz w:val="32"/>
          <w:szCs w:val="32"/>
          <w:lang w:val="en-US" w:eastAsia="zh-CN"/>
        </w:rPr>
        <w:t>一是基本支出增加19.34万元，职工正常晋升调资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是项目支出增加1947.32万元，其中：棚户区改造资金减少588万元，老旧小区改造资金增加495.2万元，污水处理厂整修资金减少453.25万元，农村危房改造减少23万元，自然灾害风险普查减少5万元，遗属人员补助减少1.69万元，北门水街项目增加300万元，污水处理、污泥处理、排水管网涵洞水篦子维护减少141.31万元，建筑工程质量监督管理支出减少3.03万元建设工程安全管理支出减少2.6万元，雨污分流及管网升级项目增加2400万元，消防备案、验收购买减少10万元，人防减少50万元，智慧工地增加30万元。</w:t>
      </w:r>
      <w:r>
        <w:rPr>
          <w:rFonts w:hint="eastAsia" w:ascii="方正仿宋_GBK" w:hAnsi="方正仿宋_GBK" w:eastAsia="方正仿宋_GBK" w:cs="方正仿宋_GBK"/>
          <w:sz w:val="32"/>
          <w:szCs w:val="32"/>
        </w:rPr>
        <w:t>较年初预算数增加4385.04万元，增长45.77%。主要原因是</w:t>
      </w:r>
      <w:r>
        <w:rPr>
          <w:rFonts w:hint="eastAsia" w:ascii="方正仿宋_GBK" w:hAnsi="方正仿宋_GBK" w:eastAsia="方正仿宋_GBK" w:cs="方正仿宋_GBK"/>
          <w:sz w:val="32"/>
          <w:szCs w:val="32"/>
          <w:lang w:val="en-US" w:eastAsia="zh-CN"/>
        </w:rPr>
        <w:t>基本支出增加30.3万元（主要是职工工资正常晋升调资），项目支出增加4354.74万元（主要是老旧小区增加4670.87万元；污水管网综合整治工程增加2400万元；六项创建增加300万元；污水处理、污泥处理、排水管网涵洞水篦子维护调减103.35万元；建筑工程质量监督管理支出调减3.03万元；污水处理厂整修项目调减51.75万元；保障性社会租赁住房筹集补助项目调减745万元；保障性住房维修整改、完善基础配套、装饰装修项目调减2045万元；农村危房改造项目调减68万元等）。</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3.结转结余情况。</w:t>
      </w:r>
      <w:r>
        <w:rPr>
          <w:rFonts w:hint="eastAsia" w:ascii="方正仿宋_GBK" w:hAnsi="方正仿宋_GBK" w:eastAsia="方正仿宋_GBK" w:cs="方正仿宋_GBK"/>
          <w:sz w:val="32"/>
          <w:szCs w:val="32"/>
        </w:rPr>
        <w:t>2023年度年末一般公共预算财政拨款结转和结余0.00万元，较上年决算数无增减，主要原因是202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年实行零结转</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4.比较情况</w:t>
      </w:r>
      <w:r>
        <w:rPr>
          <w:rFonts w:hint="eastAsia" w:ascii="方正仿宋_GBK" w:hAnsi="方正仿宋_GBK" w:eastAsia="方正仿宋_GBK" w:cs="方正仿宋_GBK"/>
          <w:sz w:val="32"/>
          <w:szCs w:val="32"/>
        </w:rPr>
        <w:t>。本单位2023年度一般公共预算财政拨款支出主要用于以下几个方面：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社会保障与就业支出245.74万元，占1.76%，较年初预算数增加27.31万元，增长12.50%，主要原因是年中追加行政事业单位</w:t>
      </w:r>
      <w:r>
        <w:rPr>
          <w:rFonts w:hint="eastAsia" w:ascii="方正仿宋_GBK" w:hAnsi="方正仿宋_GBK" w:eastAsia="方正仿宋_GBK" w:cs="方正仿宋_GBK"/>
          <w:sz w:val="32"/>
          <w:szCs w:val="32"/>
          <w:lang w:val="en-US" w:eastAsia="zh-CN"/>
        </w:rPr>
        <w:t>离退休</w:t>
      </w:r>
      <w:r>
        <w:rPr>
          <w:rFonts w:hint="eastAsia" w:ascii="方正仿宋_GBK" w:hAnsi="方正仿宋_GBK" w:eastAsia="方正仿宋_GBK" w:cs="方正仿宋_GBK"/>
          <w:sz w:val="32"/>
          <w:szCs w:val="32"/>
        </w:rPr>
        <w:t>支出预算</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）卫生健康支出59.69万元，占0.43%，较年初预算数无增减，主要原因</w:t>
      </w:r>
      <w:r>
        <w:rPr>
          <w:rFonts w:hint="eastAsia" w:ascii="方正仿宋_GBK" w:hAnsi="方正仿宋_GBK" w:eastAsia="方正仿宋_GBK" w:cs="方正仿宋_GBK"/>
          <w:sz w:val="32"/>
          <w:szCs w:val="32"/>
          <w:lang w:val="en-US" w:eastAsia="zh-CN"/>
        </w:rPr>
        <w:t>是严格按预算执行相关支出。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）节能环保支出2400.00万元，占17.18%，较年初预算数增加2400.00万元，增长100.00%，主要原因是</w:t>
      </w:r>
      <w:r>
        <w:rPr>
          <w:rFonts w:hint="eastAsia" w:ascii="方正仿宋_GBK" w:hAnsi="方正仿宋_GBK" w:eastAsia="方正仿宋_GBK" w:cs="方正仿宋_GBK"/>
          <w:sz w:val="32"/>
          <w:szCs w:val="32"/>
          <w:lang w:val="en-US" w:eastAsia="zh-CN"/>
        </w:rPr>
        <w:t>雨污分流及管网升级项目增加2400万元。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）城乡社区支出2626.15万元，占18.80%，较年初预算数增加191.73万元，增长7.88%，主要原因是</w:t>
      </w:r>
      <w:r>
        <w:rPr>
          <w:rFonts w:hint="eastAsia" w:ascii="方正仿宋_GBK" w:hAnsi="方正仿宋_GBK" w:eastAsia="方正仿宋_GBK" w:cs="方正仿宋_GBK"/>
          <w:sz w:val="32"/>
          <w:szCs w:val="32"/>
          <w:lang w:val="en-US" w:eastAsia="zh-CN"/>
        </w:rPr>
        <w:t>北门街改造增加300万元，2023年污水处理、污泥处理、排水等减少103.35万元，公务员工资津补贴政策衔接清算增加12.07万元，年中人员调动等减少支出16.97万元。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）住房保障支出8634.33万元，占61.82%，较年初预算数增加1766.00万元，增长25.71%，主要原因是</w:t>
      </w:r>
      <w:r>
        <w:rPr>
          <w:rFonts w:hint="eastAsia" w:ascii="方正仿宋_GBK" w:hAnsi="方正仿宋_GBK" w:eastAsia="方正仿宋_GBK" w:cs="方正仿宋_GBK"/>
          <w:sz w:val="32"/>
          <w:szCs w:val="32"/>
          <w:lang w:val="en-US" w:eastAsia="zh-CN"/>
        </w:rPr>
        <w:t>2023年城市棚户区改造项目减少960万元，2023年农村危房改造项目减少68万元，巫溪县2023年保障性住房维修整改、完善基础配套、装饰装修项目减少2045万元，巫溪县保障性社会租赁住房筹集补助项目减少745万元，老旧小区增加5584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2023年度一般公共财政拨款基本支出1512.48万元。其中：人员经费1315.57万元，较上年决算数增加28.38万元，增长2.20%，主要原因是</w:t>
      </w:r>
      <w:r>
        <w:rPr>
          <w:rFonts w:hint="eastAsia" w:ascii="方正仿宋_GBK" w:hAnsi="方正仿宋_GBK" w:eastAsia="方正仿宋_GBK" w:cs="方正仿宋_GBK"/>
          <w:sz w:val="32"/>
          <w:szCs w:val="32"/>
          <w:lang w:val="en-US" w:eastAsia="zh-CN"/>
        </w:rPr>
        <w:t>职工正常晋升调资。</w:t>
      </w:r>
      <w:r>
        <w:rPr>
          <w:rFonts w:hint="eastAsia" w:ascii="方正仿宋_GBK" w:hAnsi="方正仿宋_GBK" w:eastAsia="方正仿宋_GBK" w:cs="方正仿宋_GBK"/>
          <w:sz w:val="32"/>
          <w:szCs w:val="32"/>
        </w:rPr>
        <w:t>人员经费用途主要包括基本工资</w:t>
      </w:r>
      <w:r>
        <w:rPr>
          <w:rFonts w:hint="eastAsia" w:ascii="方正仿宋_GBK" w:hAnsi="方正仿宋_GBK" w:eastAsia="方正仿宋_GBK" w:cs="方正仿宋_GBK"/>
          <w:sz w:val="32"/>
          <w:szCs w:val="32"/>
          <w:lang w:val="en-US" w:eastAsia="zh-CN"/>
        </w:rPr>
        <w:t>308.16</w:t>
      </w:r>
      <w:r>
        <w:rPr>
          <w:rFonts w:hint="eastAsia" w:ascii="方正仿宋_GBK" w:hAnsi="方正仿宋_GBK" w:eastAsia="方正仿宋_GBK" w:cs="方正仿宋_GBK"/>
          <w:sz w:val="32"/>
          <w:szCs w:val="32"/>
        </w:rPr>
        <w:t>万元；津贴补贴</w:t>
      </w:r>
      <w:r>
        <w:rPr>
          <w:rFonts w:hint="eastAsia" w:ascii="方正仿宋_GBK" w:hAnsi="方正仿宋_GBK" w:eastAsia="方正仿宋_GBK" w:cs="方正仿宋_GBK"/>
          <w:sz w:val="32"/>
          <w:szCs w:val="32"/>
          <w:lang w:val="en-US" w:eastAsia="zh-CN"/>
        </w:rPr>
        <w:t>107.24</w:t>
      </w:r>
      <w:r>
        <w:rPr>
          <w:rFonts w:hint="eastAsia" w:ascii="方正仿宋_GBK" w:hAnsi="方正仿宋_GBK" w:eastAsia="方正仿宋_GBK" w:cs="方正仿宋_GBK"/>
          <w:sz w:val="32"/>
          <w:szCs w:val="32"/>
        </w:rPr>
        <w:t>万元；奖金</w:t>
      </w:r>
      <w:r>
        <w:rPr>
          <w:rFonts w:hint="eastAsia" w:ascii="方正仿宋_GBK" w:hAnsi="方正仿宋_GBK" w:eastAsia="方正仿宋_GBK" w:cs="方正仿宋_GBK"/>
          <w:sz w:val="32"/>
          <w:szCs w:val="32"/>
          <w:lang w:val="en-US" w:eastAsia="zh-CN"/>
        </w:rPr>
        <w:t>115.25</w:t>
      </w:r>
      <w:r>
        <w:rPr>
          <w:rFonts w:hint="eastAsia" w:ascii="方正仿宋_GBK" w:hAnsi="方正仿宋_GBK" w:eastAsia="方正仿宋_GBK" w:cs="方正仿宋_GBK"/>
          <w:sz w:val="32"/>
          <w:szCs w:val="32"/>
        </w:rPr>
        <w:t>万元；绩效工资</w:t>
      </w:r>
      <w:r>
        <w:rPr>
          <w:rFonts w:hint="eastAsia" w:ascii="方正仿宋_GBK" w:hAnsi="方正仿宋_GBK" w:eastAsia="方正仿宋_GBK" w:cs="方正仿宋_GBK"/>
          <w:sz w:val="32"/>
          <w:szCs w:val="32"/>
          <w:lang w:val="en-US" w:eastAsia="zh-CN"/>
        </w:rPr>
        <w:t>392.72</w:t>
      </w:r>
      <w:r>
        <w:rPr>
          <w:rFonts w:hint="eastAsia" w:ascii="方正仿宋_GBK" w:hAnsi="方正仿宋_GBK" w:eastAsia="方正仿宋_GBK" w:cs="方正仿宋_GBK"/>
          <w:sz w:val="32"/>
          <w:szCs w:val="32"/>
        </w:rPr>
        <w:t>万元；机关事业单位基本养老保险费</w:t>
      </w:r>
      <w:r>
        <w:rPr>
          <w:rFonts w:hint="eastAsia" w:ascii="方正仿宋_GBK" w:hAnsi="方正仿宋_GBK" w:eastAsia="方正仿宋_GBK" w:cs="方正仿宋_GBK"/>
          <w:sz w:val="32"/>
          <w:szCs w:val="32"/>
          <w:lang w:val="en-US" w:eastAsia="zh-CN"/>
        </w:rPr>
        <w:t>109.84</w:t>
      </w:r>
      <w:r>
        <w:rPr>
          <w:rFonts w:hint="eastAsia" w:ascii="方正仿宋_GBK" w:hAnsi="方正仿宋_GBK" w:eastAsia="方正仿宋_GBK" w:cs="方正仿宋_GBK"/>
          <w:sz w:val="32"/>
          <w:szCs w:val="32"/>
        </w:rPr>
        <w:t>万元；职业年金缴费</w:t>
      </w:r>
      <w:r>
        <w:rPr>
          <w:rFonts w:hint="eastAsia" w:ascii="方正仿宋_GBK" w:hAnsi="方正仿宋_GBK" w:eastAsia="方正仿宋_GBK" w:cs="方正仿宋_GBK"/>
          <w:sz w:val="32"/>
          <w:szCs w:val="32"/>
          <w:lang w:val="en-US" w:eastAsia="zh-CN"/>
        </w:rPr>
        <w:t>70.98</w:t>
      </w:r>
      <w:r>
        <w:rPr>
          <w:rFonts w:hint="eastAsia" w:ascii="方正仿宋_GBK" w:hAnsi="方正仿宋_GBK" w:eastAsia="方正仿宋_GBK" w:cs="方正仿宋_GBK"/>
          <w:sz w:val="32"/>
          <w:szCs w:val="32"/>
        </w:rPr>
        <w:t>万元；职工基本医疗保险缴费</w:t>
      </w:r>
      <w:r>
        <w:rPr>
          <w:rFonts w:hint="eastAsia" w:ascii="方正仿宋_GBK" w:hAnsi="方正仿宋_GBK" w:eastAsia="方正仿宋_GBK" w:cs="方正仿宋_GBK"/>
          <w:sz w:val="32"/>
          <w:szCs w:val="32"/>
          <w:lang w:val="en-US" w:eastAsia="zh-CN"/>
        </w:rPr>
        <w:t>59.69</w:t>
      </w:r>
      <w:r>
        <w:rPr>
          <w:rFonts w:hint="eastAsia" w:ascii="方正仿宋_GBK" w:hAnsi="方正仿宋_GBK" w:eastAsia="方正仿宋_GBK" w:cs="方正仿宋_GBK"/>
          <w:sz w:val="32"/>
          <w:szCs w:val="32"/>
        </w:rPr>
        <w:t>万元，其他社会保障缴费</w:t>
      </w:r>
      <w:r>
        <w:rPr>
          <w:rFonts w:hint="eastAsia" w:ascii="方正仿宋_GBK" w:hAnsi="方正仿宋_GBK" w:eastAsia="方正仿宋_GBK" w:cs="方正仿宋_GBK"/>
          <w:sz w:val="32"/>
          <w:szCs w:val="32"/>
          <w:lang w:val="en-US" w:eastAsia="zh-CN"/>
        </w:rPr>
        <w:t>3.09</w:t>
      </w:r>
      <w:r>
        <w:rPr>
          <w:rFonts w:hint="eastAsia" w:ascii="方正仿宋_GBK" w:hAnsi="方正仿宋_GBK" w:eastAsia="方正仿宋_GBK" w:cs="方正仿宋_GBK"/>
          <w:sz w:val="32"/>
          <w:szCs w:val="32"/>
        </w:rPr>
        <w:t>万元；住房公积金</w:t>
      </w:r>
      <w:r>
        <w:rPr>
          <w:rFonts w:hint="eastAsia" w:ascii="方正仿宋_GBK" w:hAnsi="方正仿宋_GBK" w:eastAsia="方正仿宋_GBK" w:cs="方正仿宋_GBK"/>
          <w:sz w:val="32"/>
          <w:szCs w:val="32"/>
          <w:lang w:val="en-US" w:eastAsia="zh-CN"/>
        </w:rPr>
        <w:t>85.33</w:t>
      </w:r>
      <w:r>
        <w:rPr>
          <w:rFonts w:hint="eastAsia" w:ascii="方正仿宋_GBK" w:hAnsi="方正仿宋_GBK" w:eastAsia="方正仿宋_GBK" w:cs="方正仿宋_GBK"/>
          <w:sz w:val="32"/>
          <w:szCs w:val="32"/>
        </w:rPr>
        <w:t>万元，生活补助</w:t>
      </w:r>
      <w:r>
        <w:rPr>
          <w:rFonts w:hint="eastAsia" w:ascii="方正仿宋_GBK" w:hAnsi="方正仿宋_GBK" w:eastAsia="方正仿宋_GBK" w:cs="方正仿宋_GBK"/>
          <w:sz w:val="32"/>
          <w:szCs w:val="32"/>
          <w:lang w:val="en-US" w:eastAsia="zh-CN"/>
        </w:rPr>
        <w:t>58.27</w:t>
      </w:r>
      <w:r>
        <w:rPr>
          <w:rFonts w:hint="eastAsia" w:ascii="方正仿宋_GBK" w:hAnsi="方正仿宋_GBK" w:eastAsia="方正仿宋_GBK" w:cs="方正仿宋_GBK"/>
          <w:sz w:val="32"/>
          <w:szCs w:val="32"/>
        </w:rPr>
        <w:t>万元；医疗费补助</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公用经费196.91万元，较上年决算数减少9.04万元，下降4.39%，主要原因是</w:t>
      </w:r>
      <w:r>
        <w:rPr>
          <w:rFonts w:hint="eastAsia" w:ascii="方正仿宋_GBK" w:hAnsi="方正仿宋_GBK" w:eastAsia="方正仿宋_GBK" w:cs="方正仿宋_GBK"/>
          <w:sz w:val="32"/>
          <w:szCs w:val="32"/>
          <w:lang w:val="en-US" w:eastAsia="zh-CN"/>
        </w:rPr>
        <w:t>严格按照预算支出执行。</w:t>
      </w:r>
      <w:r>
        <w:rPr>
          <w:rFonts w:hint="eastAsia" w:ascii="方正仿宋_GBK" w:hAnsi="方正仿宋_GBK" w:eastAsia="方正仿宋_GBK" w:cs="方正仿宋_GBK"/>
          <w:sz w:val="32"/>
          <w:szCs w:val="32"/>
        </w:rPr>
        <w:t>公用经费用途主要包括办公费</w:t>
      </w:r>
      <w:r>
        <w:rPr>
          <w:rFonts w:hint="eastAsia" w:ascii="方正仿宋_GBK" w:hAnsi="方正仿宋_GBK" w:eastAsia="方正仿宋_GBK" w:cs="方正仿宋_GBK"/>
          <w:sz w:val="32"/>
          <w:szCs w:val="32"/>
          <w:lang w:val="en-US" w:eastAsia="zh-CN"/>
        </w:rPr>
        <w:t>26.76</w:t>
      </w:r>
      <w:r>
        <w:rPr>
          <w:rFonts w:hint="eastAsia" w:ascii="方正仿宋_GBK" w:hAnsi="方正仿宋_GBK" w:eastAsia="方正仿宋_GBK" w:cs="方正仿宋_GBK"/>
          <w:sz w:val="32"/>
          <w:szCs w:val="32"/>
        </w:rPr>
        <w:t>万元，印刷费</w:t>
      </w:r>
      <w:r>
        <w:rPr>
          <w:rFonts w:hint="eastAsia" w:ascii="方正仿宋_GBK" w:hAnsi="方正仿宋_GBK" w:eastAsia="方正仿宋_GBK" w:cs="方正仿宋_GBK"/>
          <w:sz w:val="32"/>
          <w:szCs w:val="32"/>
          <w:lang w:val="en-US" w:eastAsia="zh-CN"/>
        </w:rPr>
        <w:t>1.42</w:t>
      </w:r>
      <w:r>
        <w:rPr>
          <w:rFonts w:hint="eastAsia" w:ascii="方正仿宋_GBK" w:hAnsi="方正仿宋_GBK" w:eastAsia="方正仿宋_GBK" w:cs="方正仿宋_GBK"/>
          <w:sz w:val="32"/>
          <w:szCs w:val="32"/>
        </w:rPr>
        <w:t>万元，咨询费</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万元，水费</w:t>
      </w:r>
      <w:r>
        <w:rPr>
          <w:rFonts w:hint="eastAsia" w:ascii="方正仿宋_GBK" w:hAnsi="方正仿宋_GBK" w:eastAsia="方正仿宋_GBK" w:cs="方正仿宋_GBK"/>
          <w:sz w:val="32"/>
          <w:szCs w:val="32"/>
          <w:lang w:val="en-US" w:eastAsia="zh-CN"/>
        </w:rPr>
        <w:t>0.68</w:t>
      </w:r>
      <w:r>
        <w:rPr>
          <w:rFonts w:hint="eastAsia" w:ascii="方正仿宋_GBK" w:hAnsi="方正仿宋_GBK" w:eastAsia="方正仿宋_GBK" w:cs="方正仿宋_GBK"/>
          <w:sz w:val="32"/>
          <w:szCs w:val="32"/>
        </w:rPr>
        <w:t>万元，电费</w:t>
      </w:r>
      <w:r>
        <w:rPr>
          <w:rFonts w:hint="eastAsia" w:ascii="方正仿宋_GBK" w:hAnsi="方正仿宋_GBK" w:eastAsia="方正仿宋_GBK" w:cs="方正仿宋_GBK"/>
          <w:sz w:val="32"/>
          <w:szCs w:val="32"/>
          <w:lang w:val="en-US" w:eastAsia="zh-CN"/>
        </w:rPr>
        <w:t>20.08</w:t>
      </w:r>
      <w:r>
        <w:rPr>
          <w:rFonts w:hint="eastAsia" w:ascii="方正仿宋_GBK" w:hAnsi="方正仿宋_GBK" w:eastAsia="方正仿宋_GBK" w:cs="方正仿宋_GBK"/>
          <w:sz w:val="32"/>
          <w:szCs w:val="32"/>
        </w:rPr>
        <w:t>万元，邮电费</w:t>
      </w:r>
      <w:r>
        <w:rPr>
          <w:rFonts w:hint="eastAsia" w:ascii="方正仿宋_GBK" w:hAnsi="方正仿宋_GBK" w:eastAsia="方正仿宋_GBK" w:cs="方正仿宋_GBK"/>
          <w:sz w:val="32"/>
          <w:szCs w:val="32"/>
          <w:lang w:val="en-US" w:eastAsia="zh-CN"/>
        </w:rPr>
        <w:t>11.35</w:t>
      </w:r>
      <w:r>
        <w:rPr>
          <w:rFonts w:hint="eastAsia" w:ascii="方正仿宋_GBK" w:hAnsi="方正仿宋_GBK" w:eastAsia="方正仿宋_GBK" w:cs="方正仿宋_GBK"/>
          <w:sz w:val="32"/>
          <w:szCs w:val="32"/>
        </w:rPr>
        <w:t>万元，物业管理费14.9万元，差旅费</w:t>
      </w:r>
      <w:r>
        <w:rPr>
          <w:rFonts w:hint="eastAsia" w:ascii="方正仿宋_GBK" w:hAnsi="方正仿宋_GBK" w:eastAsia="方正仿宋_GBK" w:cs="方正仿宋_GBK"/>
          <w:sz w:val="32"/>
          <w:szCs w:val="32"/>
          <w:lang w:val="en-US" w:eastAsia="zh-CN"/>
        </w:rPr>
        <w:t>11.35</w:t>
      </w:r>
      <w:r>
        <w:rPr>
          <w:rFonts w:hint="eastAsia" w:ascii="方正仿宋_GBK" w:hAnsi="方正仿宋_GBK" w:eastAsia="方正仿宋_GBK" w:cs="方正仿宋_GBK"/>
          <w:sz w:val="32"/>
          <w:szCs w:val="32"/>
        </w:rPr>
        <w:t>万元，维修（护）费</w:t>
      </w:r>
      <w:r>
        <w:rPr>
          <w:rFonts w:hint="eastAsia" w:ascii="方正仿宋_GBK" w:hAnsi="方正仿宋_GBK" w:eastAsia="方正仿宋_GBK" w:cs="方正仿宋_GBK"/>
          <w:sz w:val="32"/>
          <w:szCs w:val="32"/>
          <w:lang w:val="en-US" w:eastAsia="zh-CN"/>
        </w:rPr>
        <w:t>5.2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租赁费2.38万元，</w:t>
      </w:r>
      <w:r>
        <w:rPr>
          <w:rFonts w:hint="eastAsia" w:ascii="方正仿宋_GBK" w:hAnsi="方正仿宋_GBK" w:eastAsia="方正仿宋_GBK" w:cs="方正仿宋_GBK"/>
          <w:sz w:val="32"/>
          <w:szCs w:val="32"/>
        </w:rPr>
        <w:t>培训费</w:t>
      </w:r>
      <w:r>
        <w:rPr>
          <w:rFonts w:hint="eastAsia" w:ascii="方正仿宋_GBK" w:hAnsi="方正仿宋_GBK" w:eastAsia="方正仿宋_GBK" w:cs="方正仿宋_GBK"/>
          <w:sz w:val="32"/>
          <w:szCs w:val="32"/>
          <w:lang w:val="en-US" w:eastAsia="zh-CN"/>
        </w:rPr>
        <w:t>0.52</w:t>
      </w:r>
      <w:r>
        <w:rPr>
          <w:rFonts w:hint="eastAsia" w:ascii="方正仿宋_GBK" w:hAnsi="方正仿宋_GBK" w:eastAsia="方正仿宋_GBK" w:cs="方正仿宋_GBK"/>
          <w:sz w:val="32"/>
          <w:szCs w:val="32"/>
        </w:rPr>
        <w:t>万元，公务接待费</w:t>
      </w:r>
      <w:r>
        <w:rPr>
          <w:rFonts w:hint="eastAsia" w:ascii="方正仿宋_GBK" w:hAnsi="方正仿宋_GBK" w:eastAsia="方正仿宋_GBK" w:cs="方正仿宋_GBK"/>
          <w:sz w:val="32"/>
          <w:szCs w:val="32"/>
          <w:lang w:val="en-US" w:eastAsia="zh-CN"/>
        </w:rPr>
        <w:t>5.35</w:t>
      </w:r>
      <w:r>
        <w:rPr>
          <w:rFonts w:hint="eastAsia" w:ascii="方正仿宋_GBK" w:hAnsi="方正仿宋_GBK" w:eastAsia="方正仿宋_GBK" w:cs="方正仿宋_GBK"/>
          <w:sz w:val="32"/>
          <w:szCs w:val="32"/>
        </w:rPr>
        <w:t>万元，</w:t>
      </w:r>
      <w:bookmarkStart w:id="0" w:name="_GoBack"/>
      <w:bookmarkEnd w:id="0"/>
      <w:r>
        <w:rPr>
          <w:rFonts w:hint="eastAsia" w:ascii="方正仿宋_GBK" w:hAnsi="方正仿宋_GBK" w:eastAsia="方正仿宋_GBK" w:cs="方正仿宋_GBK"/>
          <w:sz w:val="32"/>
          <w:szCs w:val="32"/>
        </w:rPr>
        <w:t>劳务费</w:t>
      </w:r>
      <w:r>
        <w:rPr>
          <w:rFonts w:hint="eastAsia" w:ascii="方正仿宋_GBK" w:hAnsi="方正仿宋_GBK" w:eastAsia="方正仿宋_GBK" w:cs="方正仿宋_GBK"/>
          <w:sz w:val="32"/>
          <w:szCs w:val="32"/>
          <w:lang w:val="en-US" w:eastAsia="zh-CN"/>
        </w:rPr>
        <w:t>4.72</w:t>
      </w:r>
      <w:r>
        <w:rPr>
          <w:rFonts w:hint="eastAsia" w:ascii="方正仿宋_GBK" w:hAnsi="方正仿宋_GBK" w:eastAsia="方正仿宋_GBK" w:cs="方正仿宋_GBK"/>
          <w:sz w:val="32"/>
          <w:szCs w:val="32"/>
        </w:rPr>
        <w:t>万元，工会经费</w:t>
      </w:r>
      <w:r>
        <w:rPr>
          <w:rFonts w:hint="eastAsia" w:ascii="方正仿宋_GBK" w:hAnsi="方正仿宋_GBK" w:eastAsia="方正仿宋_GBK" w:cs="方正仿宋_GBK"/>
          <w:sz w:val="32"/>
          <w:szCs w:val="32"/>
          <w:lang w:val="en-US" w:eastAsia="zh-CN"/>
        </w:rPr>
        <w:t>3.79</w:t>
      </w:r>
      <w:r>
        <w:rPr>
          <w:rFonts w:hint="eastAsia" w:ascii="方正仿宋_GBK" w:hAnsi="方正仿宋_GBK" w:eastAsia="方正仿宋_GBK" w:cs="方正仿宋_GBK"/>
          <w:sz w:val="32"/>
          <w:szCs w:val="32"/>
        </w:rPr>
        <w:t>万元，福利费</w:t>
      </w:r>
      <w:r>
        <w:rPr>
          <w:rFonts w:hint="eastAsia" w:ascii="方正仿宋_GBK" w:hAnsi="方正仿宋_GBK" w:eastAsia="方正仿宋_GBK" w:cs="方正仿宋_GBK"/>
          <w:sz w:val="32"/>
          <w:szCs w:val="32"/>
          <w:lang w:val="en-US" w:eastAsia="zh-CN"/>
        </w:rPr>
        <w:t>9.79</w:t>
      </w:r>
      <w:r>
        <w:rPr>
          <w:rFonts w:hint="eastAsia" w:ascii="方正仿宋_GBK" w:hAnsi="方正仿宋_GBK" w:eastAsia="方正仿宋_GBK" w:cs="方正仿宋_GBK"/>
          <w:sz w:val="32"/>
          <w:szCs w:val="32"/>
        </w:rPr>
        <w:t>万元，公务用车运行维护费</w:t>
      </w:r>
      <w:r>
        <w:rPr>
          <w:rFonts w:hint="eastAsia" w:ascii="方正仿宋_GBK" w:hAnsi="方正仿宋_GBK" w:eastAsia="方正仿宋_GBK" w:cs="方正仿宋_GBK"/>
          <w:sz w:val="32"/>
          <w:szCs w:val="32"/>
          <w:lang w:val="en-US" w:eastAsia="zh-CN"/>
        </w:rPr>
        <w:t>14.19</w:t>
      </w:r>
      <w:r>
        <w:rPr>
          <w:rFonts w:hint="eastAsia" w:ascii="方正仿宋_GBK" w:hAnsi="方正仿宋_GBK" w:eastAsia="方正仿宋_GBK" w:cs="方正仿宋_GBK"/>
          <w:sz w:val="32"/>
          <w:szCs w:val="32"/>
        </w:rPr>
        <w:t>万元，其他交通费用</w:t>
      </w:r>
      <w:r>
        <w:rPr>
          <w:rFonts w:hint="eastAsia" w:ascii="方正仿宋_GBK" w:hAnsi="方正仿宋_GBK" w:eastAsia="方正仿宋_GBK" w:cs="方正仿宋_GBK"/>
          <w:sz w:val="32"/>
          <w:szCs w:val="32"/>
          <w:lang w:val="en-US" w:eastAsia="zh-CN"/>
        </w:rPr>
        <w:t>20.01</w:t>
      </w:r>
      <w:r>
        <w:rPr>
          <w:rFonts w:hint="eastAsia" w:ascii="方正仿宋_GBK" w:hAnsi="方正仿宋_GBK" w:eastAsia="方正仿宋_GBK" w:cs="方正仿宋_GBK"/>
          <w:sz w:val="32"/>
          <w:szCs w:val="32"/>
        </w:rPr>
        <w:t>万元，其他商品和服务支出</w:t>
      </w:r>
      <w:r>
        <w:rPr>
          <w:rFonts w:hint="eastAsia" w:ascii="方正仿宋_GBK" w:hAnsi="方正仿宋_GBK" w:eastAsia="方正仿宋_GBK" w:cs="方正仿宋_GBK"/>
          <w:sz w:val="32"/>
          <w:szCs w:val="32"/>
          <w:lang w:val="en-US" w:eastAsia="zh-CN"/>
        </w:rPr>
        <w:t>31.42</w:t>
      </w:r>
      <w:r>
        <w:rPr>
          <w:rFonts w:hint="eastAsia" w:ascii="方正仿宋_GBK" w:hAnsi="方正仿宋_GBK" w:eastAsia="方正仿宋_GBK" w:cs="方正仿宋_GBK"/>
          <w:sz w:val="32"/>
          <w:szCs w:val="32"/>
        </w:rPr>
        <w:t>万元，办公设备购置6.19万元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信息网络及软件购置更新3.81万元</w:t>
      </w:r>
      <w:r>
        <w:rPr>
          <w:rFonts w:hint="eastAsia" w:ascii="方正仿宋_GBK" w:hAnsi="方正仿宋_GBK" w:eastAsia="方正仿宋_GBK" w:cs="方正仿宋_GBK"/>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2023年度政府性基金预算财政拨款年初结转结余0.00万元，年末结转结余0.00万元。本年收入0.00万元，较上年决算数减少25.00万元，下降100.00%，主要原因是</w:t>
      </w:r>
      <w:r>
        <w:rPr>
          <w:rFonts w:hint="eastAsia" w:ascii="方正仿宋_GBK" w:hAnsi="方正仿宋_GBK" w:eastAsia="方正仿宋_GBK" w:cs="方正仿宋_GBK"/>
          <w:sz w:val="32"/>
          <w:szCs w:val="32"/>
          <w:lang w:val="en-US" w:eastAsia="zh-CN"/>
        </w:rPr>
        <w:t>设计下乡减少25万元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本年支出0.00万元，较上年决算数减少25.00万元，下降100.00%，主要原因是</w:t>
      </w:r>
      <w:r>
        <w:rPr>
          <w:rFonts w:hint="eastAsia" w:ascii="方正仿宋_GBK" w:hAnsi="方正仿宋_GBK" w:eastAsia="方正仿宋_GBK" w:cs="方正仿宋_GBK"/>
          <w:sz w:val="32"/>
          <w:szCs w:val="32"/>
          <w:lang w:val="en-US" w:eastAsia="zh-CN"/>
        </w:rPr>
        <w:t>设计下乡减少25万元。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本单位2023年度无国有资本经营预算财政拨款支出。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19.60万元，较年初预算数减少4.15万元，下降17.47%，主要原因是严格按预算控制执行，认真贯彻落实中央八项规定精神。较上年支出数减少0.96万元，下降4.67%，主要原因是严格按预算控制执行，认真贯彻落实中央八项规定精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2023年度本单位因公出国（境）费用0.00万元，费用支出较年初预算数无增减，主要原因是本单位202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较上年支出数无增减，主要原因是本单位2022年度未发生因公出国（境）费用支出。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公务车购置费0.00万元，费用支出较年初预算数无增减，主要原因是本单位202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14.25万元，主要用于市内因公出行、专项建设工程指导及验收、建设工程安全管理及检查等工作所需车辆的燃料费、维修费、过桥过路费、保险费等。费用支出较年初预算数无增减，主要原因是严格落实公车使用规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较上年支出数减少0.74万元，下降4.94%，主要原因是严格按预算控制执行，认真贯彻落实中央八项规定精神。</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公务接待费5.35万元，主要用于接待一是接受市级部门业务指导所支付的费用；二是建筑安全巡回检查所产生的费用；三是接受国家城乡住建部、财政部以及市级相关部门指导建筑节能应用等支出；四是相关部门协调工作会议接待支出等。费用支出较年初预算数减少4.15万元，下降43.68%，主要原因是强化公务接待支出管理，严格遵守公务接待开支范围和开支标准，严格控制陪餐人数，对应由接待对象承担的费用一律由接待对象自行支付，公务接待费大幅度下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减少0.22万元，下降3.95%，主要原因是强化公务接待支出管理，严格遵守公务接待开支范围和开支标准，严格控制陪餐人数，对应由接待对象承担的费用一律由接待对象自行支付，公务接待费大幅度下降</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共计0个团组，0人；公务用车购置0辆，公务车保有量为3辆；国内公务接待75批次450人，其中：国内外事接待0批次，0人；国（境）外公务接待0批次，0人。2023年本单位人均接待费119.00元，车均购置费0万元，车均维护费4.75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本年度会议费支出0.00万元，较上年决算数无增减。本年度培训费支出0.52万元，较上年决算数减少0.06万元，下降10.34%，主要原因是</w:t>
      </w:r>
      <w:r>
        <w:rPr>
          <w:rFonts w:hint="eastAsia" w:ascii="方正仿宋_GBK" w:hAnsi="方正仿宋_GBK" w:eastAsia="方正仿宋_GBK" w:cs="方正仿宋_GBK"/>
          <w:sz w:val="32"/>
          <w:szCs w:val="32"/>
          <w:lang w:val="en-US" w:eastAsia="zh-CN"/>
        </w:rPr>
        <w:t>严格执行预算，</w:t>
      </w:r>
      <w:r>
        <w:rPr>
          <w:rFonts w:hint="eastAsia" w:ascii="方正仿宋_GBK" w:hAnsi="方正仿宋_GBK" w:eastAsia="方正仿宋_GBK" w:cs="方正仿宋_GBK"/>
          <w:sz w:val="32"/>
          <w:szCs w:val="32"/>
        </w:rPr>
        <w:t>多数培训转为线上会议，导致培训费减少</w:t>
      </w:r>
      <w:r>
        <w:rPr>
          <w:rFonts w:hint="eastAsia" w:ascii="方正仿宋_GBK" w:hAnsi="方正仿宋_GBK" w:eastAsia="方正仿宋_GBK" w:cs="方正仿宋_GBK"/>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（二）机关运行经费情况说明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2023年度本单位机关运行经费支出196.91万元，机关运行经费主要用于开为履行职能职责所必需的运行费用，如办公费、差旅费、水电费、邮电费、物业管理费等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机关运行经费较上年支出数减少9.04万元，下降4.39%，主要原因是</w:t>
      </w:r>
      <w:r>
        <w:rPr>
          <w:rFonts w:hint="eastAsia" w:ascii="方正仿宋_GBK" w:hAnsi="方正仿宋_GBK" w:eastAsia="方正仿宋_GBK" w:cs="方正仿宋_GBK"/>
          <w:sz w:val="32"/>
          <w:szCs w:val="32"/>
          <w:lang w:val="en-US" w:eastAsia="zh-CN"/>
        </w:rPr>
        <w:t>2023年调出一名人员及退休一名人员，故运行经费有所下降。</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截至2023年12月31日，本单位共有车辆9辆，其中，副部（省）级及以上领导用车0辆、主要负责人用车0辆、机要通信用车0辆、应急保障用车9辆、执法执勤用车0辆，特种专业技术用车0辆，离退休干部用车0辆。单价100万元（含）以上专用设备0台（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（四）政府采购支出情况说明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度本单位政府采购支出总额3.03万元，其中：政府采购货物支出3.03万元、政府采购工程支出0.00万元、政府采购服务支出0.00万元。授予中小企业合同金额3.03万元，占政府采购支出总额的100.00%，其中：授予小微企业合同金额3.03万元，占政府采购支出总额的100.00 %。主要用于采购公用电脑及打印机</w:t>
      </w:r>
      <w:r>
        <w:rPr>
          <w:rFonts w:hint="eastAsia" w:ascii="方正仿宋_GBK" w:hAnsi="方正仿宋_GBK" w:eastAsia="方正仿宋_GBK" w:cs="方正仿宋_GBK"/>
          <w:sz w:val="32"/>
          <w:szCs w:val="32"/>
          <w:lang w:val="en-US" w:eastAsia="zh-CN"/>
        </w:rPr>
        <w:t>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预算绩效管理情况说明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（一）单位自评情况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根据预算绩效管理要求，我单位对部门整体和</w:t>
      </w:r>
      <w:r>
        <w:rPr>
          <w:rFonts w:hint="eastAsia" w:ascii="方正仿宋_GBK" w:hAnsi="方正仿宋_GBK" w:eastAsia="方正仿宋_GBK" w:cs="方正仿宋_GBK"/>
          <w:sz w:val="32"/>
          <w:szCs w:val="32"/>
          <w:lang w:val="en-US" w:eastAsia="zh-CN"/>
        </w:rPr>
        <w:t>15</w:t>
      </w:r>
      <w:r>
        <w:rPr>
          <w:rFonts w:hint="eastAsia" w:ascii="方正仿宋_GBK" w:hAnsi="方正仿宋_GBK" w:eastAsia="方正仿宋_GBK" w:cs="方正仿宋_GBK"/>
          <w:sz w:val="32"/>
          <w:szCs w:val="32"/>
        </w:rPr>
        <w:t>个</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级项目开展了绩效自评，涉及财政拨款项目支出资金</w:t>
      </w:r>
      <w:r>
        <w:rPr>
          <w:rFonts w:hint="eastAsia" w:ascii="方正仿宋_GBK" w:hAnsi="方正仿宋_GBK" w:eastAsia="方正仿宋_GBK" w:cs="方正仿宋_GBK"/>
          <w:sz w:val="32"/>
          <w:szCs w:val="32"/>
          <w:lang w:val="en-US" w:eastAsia="zh-CN"/>
        </w:rPr>
        <w:t>12453.42</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pPr>
        <w:pStyle w:val="13"/>
        <w:autoSpaceDE w:val="0"/>
        <w:spacing w:before="0" w:beforeAutospacing="0" w:after="0" w:afterAutospacing="0" w:line="240" w:lineRule="auto"/>
        <w:ind w:left="101" w:leftChars="42" w:firstLine="0" w:firstLineChars="0"/>
        <w:jc w:val="center"/>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drawing>
          <wp:inline distT="0" distB="0" distL="114300" distR="114300">
            <wp:extent cx="6773545" cy="4899025"/>
            <wp:effectExtent l="0" t="0" r="8255" b="15875"/>
            <wp:docPr id="4" name="图片 4" descr="172725257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7252575703"/>
                    <pic:cNvPicPr>
                      <a:picLocks noChangeAspect="1"/>
                    </pic:cNvPicPr>
                  </pic:nvPicPr>
                  <pic:blipFill>
                    <a:blip r:embed="rId6"/>
                    <a:stretch>
                      <a:fillRect/>
                    </a:stretch>
                  </pic:blipFill>
                  <pic:spPr>
                    <a:xfrm>
                      <a:off x="0" y="0"/>
                      <a:ext cx="6773545" cy="4899025"/>
                    </a:xfrm>
                    <a:prstGeom prst="rect">
                      <a:avLst/>
                    </a:prstGeom>
                  </pic:spPr>
                </pic:pic>
              </a:graphicData>
            </a:graphic>
          </wp:inline>
        </w:drawing>
      </w:r>
      <w:r>
        <w:rPr>
          <w:rFonts w:hint="eastAsia" w:ascii="方正仿宋_GBK" w:hAnsi="方正仿宋_GBK" w:eastAsia="方正仿宋_GBK" w:cs="方正仿宋_GBK"/>
          <w:sz w:val="32"/>
          <w:szCs w:val="32"/>
          <w:shd w:val="clear" w:color="auto" w:fill="FFFFFF"/>
          <w:lang w:eastAsia="zh-CN"/>
        </w:rPr>
        <w:drawing>
          <wp:inline distT="0" distB="0" distL="114300" distR="114300">
            <wp:extent cx="6788150" cy="4199890"/>
            <wp:effectExtent l="0" t="0" r="12700" b="10160"/>
            <wp:docPr id="3" name="图片 3" descr="172725272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7252727420"/>
                    <pic:cNvPicPr>
                      <a:picLocks noChangeAspect="1"/>
                    </pic:cNvPicPr>
                  </pic:nvPicPr>
                  <pic:blipFill>
                    <a:blip r:embed="rId7"/>
                    <a:stretch>
                      <a:fillRect/>
                    </a:stretch>
                  </pic:blipFill>
                  <pic:spPr>
                    <a:xfrm>
                      <a:off x="0" y="0"/>
                      <a:ext cx="6788150" cy="419989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我单位对</w:t>
      </w:r>
      <w:r>
        <w:rPr>
          <w:rFonts w:hint="eastAsia" w:ascii="方正仿宋_GBK" w:hAnsi="方正仿宋_GBK" w:eastAsia="方正仿宋_GBK" w:cs="方正仿宋_GBK"/>
          <w:sz w:val="32"/>
          <w:szCs w:val="32"/>
          <w:lang w:val="en-US" w:eastAsia="zh-CN"/>
        </w:rPr>
        <w:t>巫溪县马镇坝学府路二期（保障性安居工程-棚户区改造）</w:t>
      </w:r>
      <w:r>
        <w:rPr>
          <w:rFonts w:hint="eastAsia" w:ascii="方正仿宋_GBK" w:hAnsi="方正仿宋_GBK" w:eastAsia="方正仿宋_GBK" w:cs="方正仿宋_GBK"/>
          <w:sz w:val="32"/>
          <w:szCs w:val="32"/>
        </w:rPr>
        <w:t>开展了绩效评价，涉及财政拨款项目资金</w:t>
      </w:r>
      <w:r>
        <w:rPr>
          <w:rFonts w:hint="eastAsia" w:ascii="方正仿宋_GBK" w:hAnsi="方正仿宋_GBK" w:eastAsia="方正仿宋_GBK" w:cs="方正仿宋_GBK"/>
          <w:sz w:val="32"/>
          <w:szCs w:val="32"/>
          <w:lang w:val="en-US" w:eastAsia="zh-CN"/>
        </w:rPr>
        <w:t>212</w:t>
      </w:r>
      <w:r>
        <w:rPr>
          <w:rFonts w:hint="eastAsia" w:ascii="方正仿宋_GBK" w:hAnsi="方正仿宋_GBK" w:eastAsia="方正仿宋_GBK" w:cs="方正仿宋_GBK"/>
          <w:sz w:val="32"/>
          <w:szCs w:val="32"/>
        </w:rPr>
        <w:t>万元，评价得分</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分，评价等次为</w:t>
      </w:r>
      <w:r>
        <w:rPr>
          <w:rFonts w:hint="eastAsia" w:ascii="方正仿宋_GBK" w:hAnsi="方正仿宋_GBK" w:eastAsia="方正仿宋_GBK" w:cs="方正仿宋_GBK"/>
          <w:sz w:val="32"/>
          <w:szCs w:val="32"/>
          <w:lang w:val="en-US" w:eastAsia="zh-CN"/>
        </w:rPr>
        <w:t>优</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巫溪县2023年城镇老旧小区改造（盐务小区、东方之珠等）</w:t>
      </w:r>
      <w:r>
        <w:rPr>
          <w:rFonts w:hint="eastAsia" w:ascii="方正仿宋_GBK" w:hAnsi="方正仿宋_GBK" w:eastAsia="方正仿宋_GBK" w:cs="方正仿宋_GBK"/>
          <w:sz w:val="32"/>
          <w:szCs w:val="32"/>
        </w:rPr>
        <w:t>开展了绩效评价，涉及财政拨款项目资金</w:t>
      </w:r>
      <w:r>
        <w:rPr>
          <w:rFonts w:hint="eastAsia" w:ascii="方正仿宋_GBK" w:hAnsi="方正仿宋_GBK" w:eastAsia="方正仿宋_GBK" w:cs="方正仿宋_GBK"/>
          <w:sz w:val="32"/>
          <w:szCs w:val="32"/>
          <w:lang w:val="en-US" w:eastAsia="zh-CN"/>
        </w:rPr>
        <w:t>112</w:t>
      </w:r>
      <w:r>
        <w:rPr>
          <w:rFonts w:hint="eastAsia" w:ascii="方正仿宋_GBK" w:hAnsi="方正仿宋_GBK" w:eastAsia="方正仿宋_GBK" w:cs="方正仿宋_GBK"/>
          <w:sz w:val="32"/>
          <w:szCs w:val="32"/>
        </w:rPr>
        <w:t>万元，评价得分</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分，评价等次为</w:t>
      </w:r>
      <w:r>
        <w:rPr>
          <w:rFonts w:hint="eastAsia" w:ascii="方正仿宋_GBK" w:hAnsi="方正仿宋_GBK" w:eastAsia="方正仿宋_GBK" w:cs="方正仿宋_GBK"/>
          <w:sz w:val="32"/>
          <w:szCs w:val="32"/>
          <w:lang w:val="en-US" w:eastAsia="zh-CN"/>
        </w:rPr>
        <w:t>优</w:t>
      </w:r>
      <w:r>
        <w:rPr>
          <w:rFonts w:hint="eastAsia" w:ascii="方正仿宋_GBK" w:hAnsi="方正仿宋_GBK" w:eastAsia="方正仿宋_GBK" w:cs="方正仿宋_GBK"/>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财政绩效评价情况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县财政局未委托第三方对我单位开展绩效评价。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六、专业名词解释</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方正仿宋_GBK" w:hAnsi="方正仿宋_GBK" w:eastAsia="方正仿宋_GBK" w:cs="方正仿宋_GBK"/>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（十）项目支出</w:t>
      </w:r>
      <w:r>
        <w:rPr>
          <w:rFonts w:hint="eastAsia" w:ascii="方正仿宋_GBK" w:hAnsi="方正仿宋_GBK" w:eastAsia="方正仿宋_GBK" w:cs="方正仿宋_GBK"/>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本单位决算公开信息反馈和联系方式：023-</w:t>
      </w:r>
      <w:r>
        <w:rPr>
          <w:rFonts w:hint="eastAsia" w:ascii="方正仿宋_GBK" w:hAnsi="方正仿宋_GBK" w:eastAsia="方正仿宋_GBK" w:cs="方正仿宋_GBK"/>
          <w:sz w:val="32"/>
          <w:szCs w:val="32"/>
          <w:lang w:val="en-US" w:eastAsia="zh-CN"/>
        </w:rPr>
        <w:t>51520334</w:t>
      </w: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p>
    <w:p>
      <w:pPr>
        <w:pStyle w:val="7"/>
        <w:snapToGrid w:val="0"/>
        <w:spacing w:before="0" w:beforeAutospacing="0" w:after="0" w:afterAutospacing="0" w:line="600" w:lineRule="exact"/>
        <w:jc w:val="both"/>
        <w:rPr>
          <w:rFonts w:hint="eastAsia" w:ascii="方正仿宋_GBK" w:hAnsi="方正仿宋_GBK" w:eastAsia="方正仿宋_GBK" w:cs="方正仿宋_GBK"/>
          <w:color w:val="FF0000"/>
          <w:sz w:val="32"/>
          <w:szCs w:val="32"/>
          <w:shd w:val="clear" w:color="auto" w:fill="FFFFFF"/>
          <w:lang w:val="en-US" w:eastAsia="zh-CN"/>
        </w:rPr>
      </w:pP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p>
    <w:p>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lang w:val="en-US" w:eastAsia="zh-CN"/>
        </w:rPr>
      </w:pPr>
    </w:p>
    <w:p>
      <w:pPr>
        <w:rPr>
          <w:rFonts w:hint="default" w:cs="宋体"/>
          <w:sz w:val="21"/>
          <w:szCs w:val="21"/>
        </w:rPr>
        <w:sectPr>
          <w:headerReference r:id="rId3" w:type="default"/>
          <w:footerReference r:id="rId4" w:type="default"/>
          <w:pgSz w:w="11907" w:h="16839"/>
          <w:pgMar w:top="454" w:right="567" w:bottom="1037" w:left="567" w:header="0" w:footer="283" w:gutter="0"/>
          <w:pgNumType w:fmt="numberInDash"/>
          <w:cols w:space="0" w:num="1"/>
          <w:rtlGutter w:val="0"/>
          <w:docGrid w:type="lines" w:linePitch="326" w:charSpace="0"/>
        </w:sectPr>
      </w:pPr>
    </w:p>
    <w:p>
      <w:pPr>
        <w:rPr>
          <w:rFonts w:hint="default" w:cs="宋体"/>
          <w:sz w:val="21"/>
          <w:szCs w:val="21"/>
        </w:rPr>
      </w:pPr>
    </w:p>
    <w:tbl>
      <w:tblPr>
        <w:tblStyle w:val="8"/>
        <w:tblW w:w="5005" w:type="pct"/>
        <w:jc w:val="center"/>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jc w:val="center"/>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jc w:val="center"/>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jc w:val="center"/>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eastAsia" w:ascii="Arial" w:hAnsi="Arial" w:eastAsia="宋体" w:cs="Arial"/>
                <w:color w:val="000000"/>
                <w:sz w:val="22"/>
                <w:szCs w:val="22"/>
                <w:lang w:eastAsia="zh-CN"/>
              </w:rPr>
            </w:pPr>
            <w:r>
              <w:rPr>
                <w:rFonts w:cs="宋体"/>
                <w:sz w:val="20"/>
                <w:szCs w:val="20"/>
              </w:rPr>
              <w:t>公开单位：</w:t>
            </w:r>
            <w:r>
              <w:rPr>
                <w:sz w:val="20"/>
                <w:u w:color="auto"/>
              </w:rPr>
              <w:t>重庆市巫溪县住房和城乡建设委员会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jc w:val="center"/>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13,965.90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245.74</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59.69</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2,400.00</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2,626.15</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8,634.33</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13,965.90</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13,965.90</w:t>
            </w: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jc w:val="center"/>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13,965.90</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13,965.90</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jc w:val="center"/>
        <w:tblLayout w:type="fixed"/>
        <w:tblCellMar>
          <w:top w:w="0" w:type="dxa"/>
          <w:left w:w="0" w:type="dxa"/>
          <w:bottom w:w="0" w:type="dxa"/>
          <w:right w:w="0" w:type="dxa"/>
        </w:tblCellMar>
      </w:tblPr>
      <w:tblGrid>
        <w:gridCol w:w="1701"/>
        <w:gridCol w:w="3172"/>
        <w:gridCol w:w="1233"/>
        <w:gridCol w:w="1233"/>
        <w:gridCol w:w="1233"/>
        <w:gridCol w:w="1233"/>
        <w:gridCol w:w="1367"/>
        <w:gridCol w:w="1307"/>
        <w:gridCol w:w="1439"/>
        <w:gridCol w:w="1461"/>
      </w:tblGrid>
      <w:tr>
        <w:tblPrEx>
          <w:tblCellMar>
            <w:top w:w="0" w:type="dxa"/>
            <w:left w:w="0" w:type="dxa"/>
            <w:bottom w:w="0" w:type="dxa"/>
            <w:right w:w="0" w:type="dxa"/>
          </w:tblCellMar>
        </w:tblPrEx>
        <w:trPr>
          <w:trHeight w:val="641" w:hRule="atLeast"/>
          <w:jc w:val="center"/>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jc w:val="center"/>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公开单位：</w:t>
            </w:r>
            <w:r>
              <w:rPr>
                <w:sz w:val="20"/>
                <w:u w:color="auto"/>
              </w:rPr>
              <w:t>重庆市巫溪县住房和城乡建设委员会</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jc w:val="center"/>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jc w:val="center"/>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jc w:val="center"/>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jc w:val="center"/>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13,965.90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13,965.90</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244.06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2,626.15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1,088.35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1,151.65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1,151.65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1,151.65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1,151.65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8,634.33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8,549.00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8,549.00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8,549.00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jc w:val="center"/>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8"/>
        <w:tblW w:w="5000" w:type="pct"/>
        <w:jc w:val="center"/>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jc w:val="center"/>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重庆市巫溪县住房和城乡建设委员会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jc w:val="center"/>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jc w:val="center"/>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jc w:val="center"/>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jc w:val="center"/>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jc w:val="center"/>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13,965.90</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1,512.48</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12,453.42</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244.06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35.49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70.98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59.69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19.75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39.94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2,400.00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2,626.15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1,121.72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1,504.42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1,474.50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1,121.72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352.78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386.14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1,088.35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735.58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352.78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1,151.65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1,151.65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1,151.65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1,151.65</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8,634.33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8,549.00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8,549.00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8,549.00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8,549.00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jc w:val="center"/>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8"/>
        <w:tblW w:w="4790" w:type="pct"/>
        <w:jc w:val="center"/>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eastAsia" w:eastAsia="宋体" w:cs="宋体"/>
                <w:color w:val="000000"/>
                <w:sz w:val="18"/>
                <w:szCs w:val="18"/>
                <w:lang w:eastAsia="zh-CN"/>
              </w:rPr>
            </w:pPr>
            <w:r>
              <w:rPr>
                <w:rFonts w:cs="宋体"/>
                <w:sz w:val="20"/>
                <w:szCs w:val="20"/>
              </w:rPr>
              <w:t>公开单位</w:t>
            </w:r>
            <w:r>
              <w:rPr>
                <w:rFonts w:cs="宋体"/>
                <w:color w:val="000000"/>
                <w:sz w:val="20"/>
                <w:szCs w:val="20"/>
              </w:rPr>
              <w:t xml:space="preserve">： </w:t>
            </w:r>
            <w:r>
              <w:rPr>
                <w:color w:val="000000"/>
                <w:sz w:val="20"/>
                <w:u w:color="auto"/>
              </w:rPr>
              <w:t>重庆市巫溪县住房和城乡建设委员会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jc w:val="center"/>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jc w:val="center"/>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jc w:val="center"/>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13,965.90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245.74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59.69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2,400.00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2,626.15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8,634.33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8,634.33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13,965.90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13,965.90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13,965.90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13,965.90</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13,965.90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13,965.90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jc w:val="center"/>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 xml:space="preserve">： </w:t>
            </w:r>
            <w:r>
              <w:rPr>
                <w:color w:val="000000"/>
                <w:sz w:val="20"/>
                <w:u w:color="auto"/>
              </w:rPr>
              <w:t>重庆市巫溪县住房和城乡建设委员会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jc w:val="center"/>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jc w:val="center"/>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jc w:val="center"/>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jc w:val="center"/>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jc w:val="center"/>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13,965.90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1,512.48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12,453.42</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244.06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244.06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35.49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35.49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70.98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59.69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59.69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19.75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39.94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2,400.00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2,400.00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400.00</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其他污染防治支出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2,000.00</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2,626.15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1,121.72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1,504.42</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1,474.50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1,121.72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352.78</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386.14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386.14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1,088.35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735.58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352.78</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1,151.65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1,151.65</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1,151.65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1,151.65</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8,634.33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8,549.00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8,549.00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8,549.00</w:t>
            </w:r>
            <w:r>
              <w:rPr>
                <w:b/>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老旧小区改造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8,549.00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8,549.00</w:t>
            </w: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85.33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jc w:val="center"/>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85.33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4994" w:type="pct"/>
        <w:jc w:val="center"/>
        <w:tblLayout w:type="fixed"/>
        <w:tblCellMar>
          <w:top w:w="0" w:type="dxa"/>
          <w:left w:w="0" w:type="dxa"/>
          <w:bottom w:w="0" w:type="dxa"/>
          <w:right w:w="0" w:type="dxa"/>
        </w:tblCellMar>
      </w:tblPr>
      <w:tblGrid>
        <w:gridCol w:w="605"/>
        <w:gridCol w:w="2740"/>
        <w:gridCol w:w="1376"/>
        <w:gridCol w:w="836"/>
        <w:gridCol w:w="1923"/>
        <w:gridCol w:w="1655"/>
        <w:gridCol w:w="808"/>
        <w:gridCol w:w="3527"/>
        <w:gridCol w:w="1889"/>
      </w:tblGrid>
      <w:tr>
        <w:tblPrEx>
          <w:tblCellMar>
            <w:top w:w="0" w:type="dxa"/>
            <w:left w:w="0" w:type="dxa"/>
            <w:bottom w:w="0" w:type="dxa"/>
            <w:right w:w="0" w:type="dxa"/>
          </w:tblCellMar>
        </w:tblPrEx>
        <w:trPr>
          <w:trHeight w:val="90" w:hRule="atLeast"/>
          <w:jc w:val="center"/>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jc w:val="center"/>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eastAsia" w:eastAsia="宋体" w:cs="宋体"/>
                <w:color w:val="000000"/>
                <w:sz w:val="18"/>
                <w:szCs w:val="18"/>
                <w:lang w:eastAsia="zh-CN"/>
              </w:rPr>
            </w:pPr>
            <w:r>
              <w:rPr>
                <w:rFonts w:cs="宋体"/>
                <w:sz w:val="20"/>
                <w:szCs w:val="20"/>
              </w:rPr>
              <w:t>公开单位</w:t>
            </w:r>
            <w:r>
              <w:rPr>
                <w:rFonts w:cs="宋体"/>
                <w:color w:val="000000"/>
                <w:sz w:val="20"/>
                <w:szCs w:val="20"/>
              </w:rPr>
              <w:t xml:space="preserve">： </w:t>
            </w:r>
            <w:r>
              <w:rPr>
                <w:color w:val="000000"/>
                <w:sz w:val="20"/>
                <w:u w:color="auto"/>
              </w:rPr>
              <w:t>重庆市巫溪县住房和城乡建设委员会</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jc w:val="center"/>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jc w:val="center"/>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jc w:val="center"/>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jc w:val="center"/>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1,252.30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186.91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308.17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6.19</w:t>
            </w: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3.81</w:t>
            </w: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70.98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59.69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85.33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jc w:val="center"/>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1,315.57</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196.91</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jc w:val="center"/>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jc w:val="center"/>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jc w:val="center"/>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 xml:space="preserve">： </w:t>
            </w:r>
            <w:r>
              <w:rPr>
                <w:color w:val="000000"/>
                <w:sz w:val="20"/>
                <w:u w:color="auto"/>
              </w:rPr>
              <w:t>重庆市巫溪县住房和城乡建设委员会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jc w:val="center"/>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jc w:val="center"/>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jc w:val="center"/>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5000" w:type="pct"/>
        <w:jc w:val="center"/>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jc w:val="center"/>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jc w:val="center"/>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eastAsia" w:eastAsia="宋体" w:cs="宋体"/>
                <w:color w:val="000000"/>
                <w:sz w:val="20"/>
                <w:szCs w:val="20"/>
                <w:lang w:eastAsia="zh-CN"/>
              </w:rPr>
            </w:pPr>
            <w:r>
              <w:rPr>
                <w:rFonts w:cs="宋体"/>
                <w:sz w:val="20"/>
                <w:szCs w:val="20"/>
              </w:rPr>
              <w:t>公开单位</w:t>
            </w:r>
            <w:r>
              <w:rPr>
                <w:rFonts w:cs="宋体"/>
                <w:color w:val="000000"/>
                <w:sz w:val="20"/>
                <w:szCs w:val="20"/>
              </w:rPr>
              <w:t xml:space="preserve">： </w:t>
            </w:r>
            <w:r>
              <w:rPr>
                <w:color w:val="000000"/>
                <w:sz w:val="20"/>
                <w:u w:color="auto"/>
              </w:rPr>
              <w:t>重庆市巫溪县住房和城乡建设委员会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jc w:val="center"/>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jc w:val="center"/>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jc w:val="center"/>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jc w:val="center"/>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jc w:val="center"/>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jc w:val="center"/>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jc w:val="center"/>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jc w:val="center"/>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eastAsia" w:eastAsia="宋体" w:cs="宋体"/>
                <w:color w:val="000000"/>
                <w:sz w:val="20"/>
                <w:szCs w:val="20"/>
                <w:lang w:eastAsia="zh-CN"/>
              </w:rPr>
            </w:pPr>
            <w:r>
              <w:rPr>
                <w:rFonts w:cs="宋体"/>
                <w:sz w:val="20"/>
                <w:szCs w:val="20"/>
              </w:rPr>
              <w:t>公开单位</w:t>
            </w:r>
            <w:r>
              <w:rPr>
                <w:rFonts w:cs="宋体"/>
                <w:color w:val="000000"/>
                <w:sz w:val="20"/>
                <w:szCs w:val="20"/>
              </w:rPr>
              <w:t xml:space="preserve">： </w:t>
            </w:r>
            <w:r>
              <w:rPr>
                <w:color w:val="000000"/>
                <w:sz w:val="20"/>
                <w:u w:color="auto"/>
              </w:rPr>
              <w:t>重庆市巫溪县住房和城乡建设委员会</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196.91</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19.60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19.60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196.91</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14.25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9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14.25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14.25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5.35</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3.03</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3.03</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450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3.03</w:t>
            </w:r>
            <w:r>
              <w:rPr>
                <w:color w:val="000000"/>
                <w:sz w:val="16"/>
                <w:u w:color="auto"/>
              </w:rPr>
              <w:t xml:space="preserve"> </w:t>
            </w:r>
          </w:p>
        </w:tc>
      </w:tr>
      <w:tr>
        <w:tblPrEx>
          <w:tblCellMar>
            <w:top w:w="0" w:type="dxa"/>
            <w:left w:w="170" w:type="dxa"/>
            <w:bottom w:w="0" w:type="dxa"/>
            <w:right w:w="170" w:type="dxa"/>
          </w:tblCellMar>
        </w:tblPrEx>
        <w:trPr>
          <w:trHeight w:val="292"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3.03</w:t>
            </w:r>
            <w:r>
              <w:rPr>
                <w:color w:val="000000"/>
                <w:sz w:val="16"/>
                <w:u w:color="auto"/>
              </w:rPr>
              <w:t xml:space="preserve"> </w:t>
            </w:r>
          </w:p>
        </w:tc>
      </w:tr>
      <w:tr>
        <w:tblPrEx>
          <w:tblCellMar>
            <w:top w:w="0" w:type="dxa"/>
            <w:left w:w="170" w:type="dxa"/>
            <w:bottom w:w="0" w:type="dxa"/>
            <w:right w:w="170" w:type="dxa"/>
          </w:tblCellMar>
        </w:tblPrEx>
        <w:trPr>
          <w:trHeight w:val="286"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jc w:val="center"/>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2NTU4NDFlYTU5NTNhNDk5ZjMwZjI3ZjViMDYyMDY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486C7D"/>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4524ED"/>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561FE"/>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6E6FA9"/>
    <w:rsid w:val="21556F04"/>
    <w:rsid w:val="22403BD3"/>
    <w:rsid w:val="24887242"/>
    <w:rsid w:val="24B92327"/>
    <w:rsid w:val="24C14514"/>
    <w:rsid w:val="2533755C"/>
    <w:rsid w:val="25791755"/>
    <w:rsid w:val="26396DF4"/>
    <w:rsid w:val="27167136"/>
    <w:rsid w:val="271B442C"/>
    <w:rsid w:val="27B23302"/>
    <w:rsid w:val="29310A5F"/>
    <w:rsid w:val="29C37A35"/>
    <w:rsid w:val="2A076083"/>
    <w:rsid w:val="2A73162E"/>
    <w:rsid w:val="2AC86999"/>
    <w:rsid w:val="2B167953"/>
    <w:rsid w:val="2B200583"/>
    <w:rsid w:val="2B8209DE"/>
    <w:rsid w:val="2C636760"/>
    <w:rsid w:val="2C6762A3"/>
    <w:rsid w:val="2C9A617F"/>
    <w:rsid w:val="2D904985"/>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8B1500"/>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E813740"/>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0A5759"/>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705150"/>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4626D0"/>
    <w:rsid w:val="685C5897"/>
    <w:rsid w:val="6883293E"/>
    <w:rsid w:val="688412AD"/>
    <w:rsid w:val="68EB1B71"/>
    <w:rsid w:val="6A6C7940"/>
    <w:rsid w:val="6AAD2300"/>
    <w:rsid w:val="6B474EF5"/>
    <w:rsid w:val="6C0A5AC5"/>
    <w:rsid w:val="6C560CAE"/>
    <w:rsid w:val="6C576495"/>
    <w:rsid w:val="6D903FF5"/>
    <w:rsid w:val="6DA955B8"/>
    <w:rsid w:val="6DE346AB"/>
    <w:rsid w:val="6DE5391A"/>
    <w:rsid w:val="6EFD1324"/>
    <w:rsid w:val="6F270E50"/>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paragraph" w:customStyle="1" w:styleId="17">
    <w:name w:val="样式 正文文本 + 首行缩进:  2 字符"/>
    <w:basedOn w:val="2"/>
    <w:qFormat/>
    <w:uiPriority w:val="0"/>
    <w:pPr>
      <w:outlineLvl w:val="1"/>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12847</Words>
  <Characters>16071</Characters>
  <Lines>190</Lines>
  <Paragraphs>53</Paragraphs>
  <TotalTime>15</TotalTime>
  <ScaleCrop>false</ScaleCrop>
  <LinksUpToDate>false</LinksUpToDate>
  <CharactersWithSpaces>17311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李刚毅</cp:lastModifiedBy>
  <dcterms:modified xsi:type="dcterms:W3CDTF">2024-10-08T02:54:13Z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BB46EABDBB2749749395447164B066B3_12</vt:lpwstr>
  </property>
</Properties>
</file>