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重庆市巫溪县城市管理局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sz w:val="44"/>
          <w:szCs w:val="44"/>
          <w:shd w:val="clear" w:color="auto" w:fill="FFFF00"/>
        </w:rPr>
      </w:pPr>
      <w:r>
        <w:rPr>
          <w:rFonts w:ascii="方正小标宋_GBK" w:hAnsi="方正小标宋_GBK" w:eastAsia="方正小标宋_GBK" w:cs="方正小标宋_GBK"/>
          <w:sz w:val="44"/>
          <w:szCs w:val="44"/>
          <w:shd w:val="clear" w:color="auto" w:fill="FFFFFF"/>
        </w:rPr>
        <w:t>2023年度决算公开说明</w:t>
      </w:r>
    </w:p>
    <w:p>
      <w:pPr>
        <w:pStyle w:val="8"/>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textAlignment w:val="auto"/>
        <w:rPr>
          <w:rStyle w:val="12"/>
          <w:rFonts w:ascii="黑体" w:hAnsi="黑体" w:eastAsia="黑体" w:cs="黑体"/>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一、部门基本情况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（一）职能职责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仿宋" w:eastAsia="方正仿宋_GBK" w:cs="仿宋"/>
          <w:color w:val="auto"/>
          <w:sz w:val="32"/>
          <w:szCs w:val="32"/>
          <w:lang w:val="en-US" w:eastAsia="zh-CN" w:bidi="ar-SA"/>
        </w:rPr>
      </w:pPr>
      <w:r>
        <w:rPr>
          <w:rFonts w:hint="eastAsia" w:ascii="方正仿宋_GBK" w:hAnsi="仿宋" w:eastAsia="方正仿宋_GBK" w:cs="仿宋"/>
          <w:color w:val="auto"/>
          <w:sz w:val="32"/>
          <w:szCs w:val="32"/>
          <w:lang w:val="en-US" w:eastAsia="zh-CN" w:bidi="ar-SA"/>
        </w:rPr>
        <w:t>城市管理局（原市政园林局）是2008年5月经县委常委会研究同意成立的，主管全县市政基础设施维护、环境卫生管理、风景资源管理、公园管理、城市市容环境综合整治以及城市管理综合执法工作、数字城管平台建设、生活垃圾分类等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贯彻执行有关市政公用设施运行管理、市容环境卫生管理、城市规划区内供水节水管理、城市管理执法、园林绿化管理等城市管理方面的法律、法规、规章和方针政策，负责编制全县市政基础设施、园林绿化、市容环境卫生等方面的发展规划、年度计划并监督执行。</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2.负责城市道路、桥梁、隧道等市政基础设施的维护管理，负责城市道路照明、景观照明等城市照明设施的建设、维护和管理，负责市政设施维护许可的管理。</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3.负责环境卫生管理。负责城市生活垃圾、建筑垃圾、水域垃圾的管理，负责城市环境卫生设施、生活垃圾处置和生活垃圾经营性服务的管理，负责农村生活垃圾治理的业务指导和监督管理。负责城区垃圾处置费征收管理。</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4.负责城市供水、节水的监督管理，负责城市供水水质的监督管理，负责城市二次供水管理。</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5.负责城市规划区内户外广告、店招店牌、户外灯饰的设置管理工作。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6.负责市政公用、市容环卫、园林绿化、城市供水排水、规划方面涉及城市违法建筑执法以及环保、市场监管、交通、水利、规划等方面与城市管理密切相关的行政处罚及与之相关的行政检查、行政强制等城市管理综合行政执法工作，具体执法交由巫溪县城市管理综合行政执法支队承担，并以部门名义统一执法。指导乡镇（街道）有关综合行政执法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7.负责城市园林绿化管理，规范园林绿化市场，组织开展城市义务植树活动。负责城市规划区内古树名木的保护管理工作和园林植物保护工作。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8.负责本行业工程建设项目的监督管理工作。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9.负责综合性公园、专类公园、游艺机游乐园、社区公园等城市公园行业管理，指导城市公园紧急避难场地的规划、建设、保护工作。负责城区公共绿地的建设、维护与管理。</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10.负责依法审查和审批临时占用城市绿地和移伐树木以及集中绿化事项。负责对城市建设项目附属绿化工程设计方案审查及指标核准，组织编制绿地系统规划和夜景灯饰审核认定。负责城市园林绿化工程项目的竣工验收。</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11.负责城市管理行业安全生产工作的监督、管理和指导，负责城市管理行业应急管理、应对处置的组织、协调和指导。</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12.负责编制市政环卫基础设施、园林绿化的建设、维护、管理资金计划并监督实施。</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13.负责城市数字化管理工作。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14.负责城区主次干道路内停车管理工作，负责城市规划区内停车场管理的指导、协调和监督。</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15.完成县委、县政府交办的其他任务。</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仿宋" w:eastAsia="方正仿宋_GBK" w:cs="仿宋"/>
          <w:color w:val="auto"/>
          <w:sz w:val="32"/>
          <w:szCs w:val="32"/>
        </w:rPr>
      </w:pPr>
      <w:r>
        <w:rPr>
          <w:rFonts w:hint="eastAsia" w:ascii="方正仿宋_GBK" w:hAnsi="仿宋" w:eastAsia="方正仿宋_GBK" w:cs="仿宋"/>
          <w:color w:val="auto"/>
          <w:sz w:val="32"/>
          <w:szCs w:val="32"/>
        </w:rPr>
        <w:t>16.职能转变。巫溪县城市管理局统一行使城市管理责任，构建政府主导、社会组织和公众共同参与的城市管理和综合执法体系，进一步推进城市管理体制改革创新，整合优化城市管理资源，疏堵结合，标本兼治，远近统筹，上下联动，建立起决策科学、执行顺畅、监督有力的城市管理体制机制，全面提升城市综合管理质量和水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仿宋" w:eastAsia="方正仿宋_GBK" w:cs="仿宋"/>
          <w:color w:val="auto"/>
          <w:sz w:val="32"/>
          <w:szCs w:val="32"/>
          <w:lang w:val="en-US" w:eastAsia="zh-CN" w:bidi="ar-SA"/>
        </w:rPr>
      </w:pPr>
      <w:r>
        <w:rPr>
          <w:rFonts w:hint="eastAsia" w:ascii="方正仿宋_GBK" w:hAnsi="仿宋" w:eastAsia="方正仿宋_GBK" w:cs="仿宋"/>
          <w:color w:val="auto"/>
          <w:sz w:val="32"/>
          <w:szCs w:val="32"/>
          <w:lang w:val="en-US" w:eastAsia="zh-CN" w:bidi="ar-SA"/>
        </w:rPr>
        <w:t>局机关下设五个业务科室，分别为综合科、市容科、环卫科、园林绿化科、安全督查科（行政审批科）。目前，我局有编制数87个（其中行政编12个，事业编75个），本年度在职职工为78人（其中行政人员11人，参公1人，事业人员66人）。跟上年度相比新增事业人员4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二、部门决算情况说明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textAlignment w:val="auto"/>
        <w:rPr>
          <w:rFonts w:hint="eastAsia" w:ascii="方正仿宋_GBK" w:hAnsi="方正仿宋_GBK" w:eastAsia="方正仿宋_GBK" w:cs="方正仿宋_GBK"/>
          <w:sz w:val="32"/>
          <w:szCs w:val="32"/>
          <w:shd w:val="clear" w:color="auto" w:fill="FFFFFF"/>
          <w:lang w:val="en-US" w:eastAsia="zh-CN"/>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2023年度收入总计8237.96万元，支出总计</w:t>
      </w:r>
      <w:r>
        <w:rPr>
          <w:rFonts w:ascii="方正仿宋_GBK" w:hAnsi="方正仿宋_GBK" w:eastAsia="方正仿宋_GBK" w:cs="方正仿宋_GBK"/>
          <w:sz w:val="32"/>
          <w:szCs w:val="32"/>
        </w:rPr>
        <w:t>8237.96</w:t>
      </w:r>
      <w:r>
        <w:rPr>
          <w:rFonts w:ascii="方正仿宋_GBK" w:hAnsi="方正仿宋_GBK" w:eastAsia="方正仿宋_GBK" w:cs="方正仿宋_GBK"/>
          <w:sz w:val="32"/>
          <w:szCs w:val="32"/>
          <w:shd w:val="clear" w:color="auto" w:fill="FFFFFF"/>
        </w:rPr>
        <w:t>万元。收支较上年决算数减少1525.98万元，下降15.63%，主要原因是</w:t>
      </w:r>
      <w:r>
        <w:rPr>
          <w:rFonts w:hint="eastAsia" w:ascii="方正仿宋_GBK" w:hAnsi="方正仿宋_GBK" w:eastAsia="方正仿宋_GBK" w:cs="方正仿宋_GBK"/>
          <w:sz w:val="32"/>
          <w:szCs w:val="32"/>
          <w:shd w:val="clear" w:color="auto" w:fill="FFFFFF"/>
          <w:lang w:val="en-US" w:eastAsia="zh-CN"/>
        </w:rPr>
        <w:t>在于渝中区对口帮扶资金和债券资金本年度减少。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2023年度收入合计8237.96万元，较上年决算数减少1525.98万元，下降15.63%，主要原因是</w:t>
      </w:r>
      <w:r>
        <w:rPr>
          <w:rFonts w:hint="eastAsia" w:ascii="方正仿宋_GBK" w:hAnsi="方正仿宋_GBK" w:eastAsia="方正仿宋_GBK" w:cs="方正仿宋_GBK"/>
          <w:sz w:val="32"/>
          <w:szCs w:val="32"/>
          <w:shd w:val="clear" w:color="auto" w:fill="FFFFFF"/>
          <w:lang w:val="en-US" w:eastAsia="zh-CN"/>
        </w:rPr>
        <w:t>在于渝中区对口帮扶资金和债券资金本年度减少。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8237.96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8237.96</w:t>
      </w:r>
      <w:r>
        <w:rPr>
          <w:rFonts w:ascii="方正仿宋_GBK" w:hAnsi="方正仿宋_GBK" w:eastAsia="方正仿宋_GBK" w:cs="方正仿宋_GBK"/>
          <w:sz w:val="32"/>
          <w:szCs w:val="32"/>
          <w:shd w:val="clear" w:color="auto" w:fill="FFFFFF"/>
        </w:rPr>
        <w:t>万元，较上年决算数减少1525.98万元，下降15.63%，主要原因是</w:t>
      </w:r>
      <w:r>
        <w:rPr>
          <w:rFonts w:hint="eastAsia" w:ascii="方正仿宋_GBK" w:hAnsi="方正仿宋_GBK" w:eastAsia="方正仿宋_GBK" w:cs="方正仿宋_GBK"/>
          <w:sz w:val="32"/>
          <w:szCs w:val="32"/>
          <w:shd w:val="clear" w:color="auto" w:fill="FFFFFF"/>
          <w:lang w:val="en-US" w:eastAsia="zh-CN"/>
        </w:rPr>
        <w:t>在于渝中区对口帮扶资金和债券资金本年度减少。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1694.75</w:t>
      </w:r>
      <w:r>
        <w:rPr>
          <w:rFonts w:ascii="方正仿宋_GBK" w:hAnsi="方正仿宋_GBK" w:eastAsia="方正仿宋_GBK" w:cs="方正仿宋_GBK"/>
          <w:sz w:val="32"/>
          <w:szCs w:val="32"/>
          <w:shd w:val="clear" w:color="auto" w:fill="FFFFFF"/>
        </w:rPr>
        <w:t>万元，占20.57%；项目支出</w:t>
      </w:r>
      <w:r>
        <w:rPr>
          <w:rFonts w:ascii="方正仿宋_GBK" w:hAnsi="方正仿宋_GBK" w:eastAsia="方正仿宋_GBK" w:cs="方正仿宋_GBK"/>
          <w:sz w:val="32"/>
          <w:szCs w:val="32"/>
        </w:rPr>
        <w:t>6543.21</w:t>
      </w:r>
      <w:r>
        <w:rPr>
          <w:rFonts w:ascii="方正仿宋_GBK" w:hAnsi="方正仿宋_GBK" w:eastAsia="方正仿宋_GBK" w:cs="方正仿宋_GBK"/>
          <w:sz w:val="32"/>
          <w:szCs w:val="32"/>
          <w:shd w:val="clear" w:color="auto" w:fill="FFFFFF"/>
        </w:rPr>
        <w:t>万元，占79.43%；经营支出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w:t>
      </w:r>
      <w:r>
        <w:rPr>
          <w:rFonts w:ascii="方正仿宋_GBK" w:hAnsi="方正仿宋_GBK" w:eastAsia="方正仿宋_GBK" w:cs="方正仿宋_GBK"/>
          <w:sz w:val="32"/>
          <w:szCs w:val="32"/>
          <w:highlight w:val="none"/>
          <w:shd w:val="clear" w:color="auto" w:fill="FFFFFF"/>
        </w:rPr>
        <w:t>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rPr>
        <w:t>202</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年实行零结转</w:t>
      </w:r>
      <w:r>
        <w:rPr>
          <w:rFonts w:ascii="方正仿宋_GBK" w:hAnsi="方正仿宋_GBK" w:eastAsia="方正仿宋_GBK" w:cs="方正仿宋_GBK"/>
          <w:color w:val="auto"/>
          <w:sz w:val="32"/>
          <w:szCs w:val="32"/>
          <w:highlight w:val="none"/>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2023年度财政拨款收、支总计8237.96万元。与2022年相比，财政拨款收、支总计各减少1525.98万元，下降15.63%。主要原因是</w:t>
      </w:r>
      <w:r>
        <w:rPr>
          <w:rFonts w:hint="eastAsia" w:ascii="方正仿宋_GBK" w:hAnsi="方正仿宋_GBK" w:eastAsia="方正仿宋_GBK" w:cs="方正仿宋_GBK"/>
          <w:sz w:val="32"/>
          <w:szCs w:val="32"/>
          <w:shd w:val="clear" w:color="auto" w:fill="FFFFFF"/>
          <w:lang w:val="en-US" w:eastAsia="zh-CN"/>
        </w:rPr>
        <w:t>在于渝中区对口帮扶资金和债券资金本年度减少。</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楷体" w:hAnsi="楷体" w:eastAsia="楷体" w:cs="楷体"/>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keepNext w:val="0"/>
        <w:keepLines w:val="0"/>
        <w:pageBreakBefore w:val="0"/>
        <w:widowControl/>
        <w:numPr>
          <w:ilvl w:val="0"/>
          <w:numId w:val="0"/>
        </w:numPr>
        <w:kinsoku/>
        <w:wordWrap/>
        <w:overflowPunct/>
        <w:topLinePunct w:val="0"/>
        <w:autoSpaceDN/>
        <w:bidi w:val="0"/>
        <w:adjustRightInd/>
        <w:snapToGrid w:val="0"/>
        <w:spacing w:beforeAutospacing="0" w:afterAutospacing="0" w:line="600" w:lineRule="exact"/>
        <w:ind w:firstLine="643" w:firstLineChars="200"/>
        <w:textAlignment w:val="auto"/>
        <w:rPr>
          <w:rFonts w:hint="default" w:ascii="方正仿宋_GBK" w:hAnsi="方正仿宋_GBK" w:eastAsia="方正仿宋_GBK" w:cs="方正仿宋_GBK"/>
          <w:sz w:val="32"/>
          <w:szCs w:val="32"/>
          <w:highlight w:val="none"/>
          <w:shd w:val="clear" w:color="auto" w:fill="FFFFFF"/>
          <w:lang w:val="en-US"/>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8107.96</w:t>
      </w:r>
      <w:r>
        <w:rPr>
          <w:rFonts w:ascii="方正仿宋_GBK" w:hAnsi="方正仿宋_GBK" w:eastAsia="方正仿宋_GBK" w:cs="方正仿宋_GBK"/>
          <w:sz w:val="32"/>
          <w:szCs w:val="32"/>
          <w:shd w:val="clear" w:color="auto" w:fill="FFFFFF"/>
        </w:rPr>
        <w:t>万元，较上年决算数减少1575.98万元，下降16.27%。主要原因是</w:t>
      </w:r>
      <w:r>
        <w:rPr>
          <w:rFonts w:hint="eastAsia" w:ascii="方正仿宋_GBK" w:hAnsi="方正仿宋_GBK" w:eastAsia="方正仿宋_GBK" w:cs="方正仿宋_GBK"/>
          <w:sz w:val="32"/>
          <w:szCs w:val="32"/>
          <w:shd w:val="clear" w:color="auto" w:fill="FFFFFF"/>
          <w:lang w:val="en-US" w:eastAsia="zh-CN"/>
        </w:rPr>
        <w:t>在于渝中区对口帮扶资金和债券资金本年度减少。</w:t>
      </w:r>
      <w:r>
        <w:rPr>
          <w:rFonts w:ascii="方正仿宋_GBK" w:hAnsi="方正仿宋_GBK" w:eastAsia="方正仿宋_GBK" w:cs="方正仿宋_GBK"/>
          <w:sz w:val="32"/>
          <w:szCs w:val="32"/>
          <w:shd w:val="clear" w:color="auto" w:fill="FFFFFF"/>
        </w:rPr>
        <w:t>较年初预算数增加687.07万元，增长9.26%。</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shd w:val="clear" w:color="auto" w:fill="FFFFFF"/>
          <w:lang w:val="en-US" w:eastAsia="zh-CN"/>
        </w:rPr>
        <w:t>下属单位人员相关支出增加（设施所新招录1人、执法支队新招录3人和公园绿化所新招录2人）、年中追加巩固脱贫攻坚成果衔接乡村振兴相关项目资金486.21万元、三峡水库库区维护基金较上年增加50万元等。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keepNext w:val="0"/>
        <w:keepLines w:val="0"/>
        <w:pageBreakBefore w:val="0"/>
        <w:widowControl/>
        <w:numPr>
          <w:ilvl w:val="0"/>
          <w:numId w:val="0"/>
        </w:numPr>
        <w:kinsoku/>
        <w:wordWrap/>
        <w:overflowPunct/>
        <w:topLinePunct w:val="0"/>
        <w:autoSpaceDN/>
        <w:bidi w:val="0"/>
        <w:adjustRightInd/>
        <w:snapToGrid w:val="0"/>
        <w:spacing w:beforeAutospacing="0" w:afterAutospacing="0" w:line="600" w:lineRule="exact"/>
        <w:ind w:firstLine="643" w:firstLineChars="200"/>
        <w:textAlignment w:val="auto"/>
        <w:rPr>
          <w:rFonts w:hint="default" w:ascii="方正仿宋_GBK" w:hAnsi="方正仿宋_GBK" w:eastAsia="方正仿宋_GBK" w:cs="方正仿宋_GBK"/>
          <w:sz w:val="32"/>
          <w:szCs w:val="32"/>
          <w:highlight w:val="yellow"/>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8107.96</w:t>
      </w:r>
      <w:r>
        <w:rPr>
          <w:rFonts w:ascii="方正仿宋_GBK" w:hAnsi="方正仿宋_GBK" w:eastAsia="方正仿宋_GBK" w:cs="方正仿宋_GBK"/>
          <w:sz w:val="32"/>
          <w:szCs w:val="32"/>
          <w:shd w:val="clear" w:color="auto" w:fill="FFFFFF"/>
        </w:rPr>
        <w:t>万元，较上年决算数减少1575.98万元，下降16.27%。主要原因是</w:t>
      </w:r>
      <w:r>
        <w:rPr>
          <w:rFonts w:hint="eastAsia" w:ascii="方正仿宋_GBK" w:hAnsi="方正仿宋_GBK" w:eastAsia="方正仿宋_GBK" w:cs="方正仿宋_GBK"/>
          <w:sz w:val="32"/>
          <w:szCs w:val="32"/>
          <w:shd w:val="clear" w:color="auto" w:fill="FFFFFF"/>
          <w:lang w:val="en-US" w:eastAsia="zh-CN"/>
        </w:rPr>
        <w:t>在于渝中区对口帮扶资金和债券资金本年度减少。</w:t>
      </w:r>
      <w:r>
        <w:rPr>
          <w:rFonts w:ascii="方正仿宋_GBK" w:hAnsi="方正仿宋_GBK" w:eastAsia="方正仿宋_GBK" w:cs="方正仿宋_GBK"/>
          <w:sz w:val="32"/>
          <w:szCs w:val="32"/>
          <w:shd w:val="clear" w:color="auto" w:fill="FFFFFF"/>
        </w:rPr>
        <w:t>较年初预算数增加687.07万元，增长9.26%。</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shd w:val="clear" w:color="auto" w:fill="FFFFFF"/>
          <w:lang w:val="en-US" w:eastAsia="zh-CN"/>
        </w:rPr>
        <w:t>下属单位人员增加（设施所新招录1人、执法支队新招录3人和公园绿化所新招录2人）以及年中追加巩固脱贫攻坚成果衔接乡村振兴相关项目资金486.21万元、三峡水库库区维护基金较上年增加50万元等。</w:t>
      </w:r>
    </w:p>
    <w:p>
      <w:pPr>
        <w:pStyle w:val="8"/>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sz w:val="32"/>
          <w:szCs w:val="32"/>
          <w:highlight w:val="none"/>
        </w:rPr>
      </w:pPr>
      <w:r>
        <w:rPr>
          <w:rStyle w:val="12"/>
          <w:rFonts w:hint="eastAsia" w:ascii="方正仿宋_GBK" w:hAnsi="方正仿宋_GBK" w:eastAsia="方正仿宋_GBK" w:cs="方正仿宋_GBK"/>
          <w:sz w:val="32"/>
          <w:szCs w:val="32"/>
          <w:shd w:val="clear" w:color="auto" w:fill="FFFFFF"/>
          <w:lang w:val="en-US" w:eastAsia="zh-CN"/>
        </w:rPr>
        <w:t>3.</w:t>
      </w:r>
      <w:r>
        <w:rPr>
          <w:rStyle w:val="12"/>
          <w:rFonts w:ascii="方正仿宋_GBK" w:hAnsi="方正仿宋_GBK" w:eastAsia="方正仿宋_GBK" w:cs="方正仿宋_GBK"/>
          <w:sz w:val="32"/>
          <w:szCs w:val="32"/>
          <w:shd w:val="clear" w:color="auto" w:fill="FFFFFF"/>
        </w:rPr>
        <w:t>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较上年决算数无增减</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rPr>
        <w:t>202</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年实行零结转</w:t>
      </w:r>
      <w:r>
        <w:rPr>
          <w:rFonts w:hint="eastAsia" w:ascii="方正仿宋_GBK" w:hAnsi="方正仿宋_GBK" w:eastAsia="方正仿宋_GBK" w:cs="方正仿宋_GBK"/>
          <w:sz w:val="32"/>
          <w:szCs w:val="32"/>
          <w:highlight w:val="none"/>
          <w:lang w:eastAsia="zh-CN"/>
        </w:rPr>
        <w:t>。</w:t>
      </w:r>
    </w:p>
    <w:p>
      <w:pPr>
        <w:pStyle w:val="8"/>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highlight w:val="none"/>
          <w:shd w:val="clear" w:color="auto" w:fill="FFFFFF"/>
        </w:rPr>
        <w:t>4.比较情况。</w:t>
      </w:r>
      <w:r>
        <w:rPr>
          <w:rFonts w:ascii="方正仿宋_GBK" w:hAnsi="方正仿宋_GBK" w:eastAsia="方正仿宋_GBK" w:cs="方正仿宋_GBK"/>
          <w:sz w:val="32"/>
          <w:szCs w:val="32"/>
          <w:highlight w:val="none"/>
          <w:shd w:val="clear" w:color="auto" w:fill="FFFFFF"/>
        </w:rPr>
        <w:t>本部门2023年度一般公共预算财</w:t>
      </w:r>
      <w:r>
        <w:rPr>
          <w:rFonts w:ascii="方正仿宋_GBK" w:hAnsi="方正仿宋_GBK" w:eastAsia="方正仿宋_GBK" w:cs="方正仿宋_GBK"/>
          <w:sz w:val="32"/>
          <w:szCs w:val="32"/>
          <w:shd w:val="clear" w:color="auto" w:fill="FFFFFF"/>
        </w:rPr>
        <w:t>政拨款支出主要用于以下几个方面：</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201.91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2.49</w:t>
      </w:r>
      <w:r>
        <w:rPr>
          <w:rFonts w:ascii="方正仿宋_GBK" w:hAnsi="方正仿宋_GBK" w:eastAsia="方正仿宋_GBK" w:cs="方正仿宋_GBK"/>
          <w:sz w:val="32"/>
          <w:szCs w:val="32"/>
          <w:shd w:val="clear" w:color="auto" w:fill="FFFFFF"/>
        </w:rPr>
        <w:t>%，较年初预算数增加14.41万元，增长7.69%，主要原因</w:t>
      </w:r>
      <w:r>
        <w:rPr>
          <w:rFonts w:hint="eastAsia" w:ascii="方正仿宋_GBK" w:hAnsi="方正仿宋_GBK" w:eastAsia="方正仿宋_GBK" w:cs="方正仿宋_GBK"/>
          <w:sz w:val="32"/>
          <w:szCs w:val="32"/>
          <w:shd w:val="clear" w:color="auto" w:fill="FFFFFF"/>
          <w:lang w:val="en-US" w:eastAsia="zh-CN"/>
        </w:rPr>
        <w:t>一是在于</w:t>
      </w:r>
      <w:r>
        <w:rPr>
          <w:rFonts w:hint="eastAsia" w:ascii="方正仿宋_GBK" w:hAnsi="方正仿宋_GBK" w:eastAsia="方正仿宋_GBK" w:cs="方正仿宋_GBK"/>
          <w:color w:val="auto"/>
          <w:sz w:val="32"/>
          <w:szCs w:val="32"/>
          <w:shd w:val="clear" w:color="auto" w:fill="FFFFFF"/>
          <w:lang w:eastAsia="zh-CN"/>
        </w:rPr>
        <w:t>机关</w:t>
      </w:r>
      <w:r>
        <w:rPr>
          <w:rFonts w:hint="eastAsia" w:ascii="方正仿宋_GBK" w:hAnsi="方正仿宋_GBK" w:eastAsia="方正仿宋_GBK" w:cs="方正仿宋_GBK"/>
          <w:color w:val="auto"/>
          <w:sz w:val="32"/>
          <w:szCs w:val="32"/>
          <w:shd w:val="clear" w:color="auto" w:fill="FFFFFF"/>
          <w:lang w:val="en-US" w:eastAsia="zh-CN"/>
        </w:rPr>
        <w:t>及下属</w:t>
      </w:r>
      <w:r>
        <w:rPr>
          <w:rFonts w:hint="eastAsia" w:ascii="方正仿宋_GBK" w:hAnsi="方正仿宋_GBK" w:eastAsia="方正仿宋_GBK" w:cs="方正仿宋_GBK"/>
          <w:color w:val="auto"/>
          <w:sz w:val="32"/>
          <w:szCs w:val="32"/>
          <w:shd w:val="clear" w:color="auto" w:fill="FFFFFF"/>
          <w:lang w:eastAsia="zh-CN"/>
        </w:rPr>
        <w:t>事业单位基本养老保险缴费</w:t>
      </w:r>
      <w:r>
        <w:rPr>
          <w:rFonts w:hint="eastAsia" w:ascii="方正仿宋_GBK" w:hAnsi="方正仿宋_GBK" w:eastAsia="方正仿宋_GBK" w:cs="方正仿宋_GBK"/>
          <w:color w:val="auto"/>
          <w:sz w:val="32"/>
          <w:szCs w:val="32"/>
          <w:shd w:val="clear" w:color="auto" w:fill="FFFFFF"/>
          <w:lang w:val="en-US" w:eastAsia="zh-CN"/>
        </w:rPr>
        <w:t>、职业年金缴费和对个人和家庭的补助的调标增加；二是补发退休人员2022年度健康休养费、退休人员独生子女一次性补贴和补缴2014年10月——2016年12月职业年金单位部分等</w:t>
      </w:r>
      <w:r>
        <w:rPr>
          <w:rFonts w:ascii="方正仿宋_GBK" w:hAnsi="方正仿宋_GBK" w:eastAsia="方正仿宋_GBK" w:cs="方正仿宋_GBK"/>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59.96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0.74</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我单位严格按预算执行相关支出</w:t>
      </w:r>
      <w:r>
        <w:rPr>
          <w:rFonts w:ascii="方正仿宋_GBK" w:hAnsi="方正仿宋_GBK" w:eastAsia="方正仿宋_GBK" w:cs="方正仿宋_GBK"/>
          <w:color w:val="auto"/>
          <w:sz w:val="32"/>
          <w:szCs w:val="32"/>
          <w:highlight w:val="none"/>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157.00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1.94</w:t>
      </w:r>
      <w:r>
        <w:rPr>
          <w:rFonts w:ascii="方正仿宋_GBK" w:hAnsi="方正仿宋_GBK" w:eastAsia="方正仿宋_GBK" w:cs="方正仿宋_GBK"/>
          <w:sz w:val="32"/>
          <w:szCs w:val="32"/>
          <w:shd w:val="clear" w:color="auto" w:fill="FFFFFF"/>
        </w:rPr>
        <w:t>%，较年初预算数减少36.00万元，下降18.65%，主要原</w:t>
      </w:r>
      <w:r>
        <w:rPr>
          <w:rFonts w:ascii="方正仿宋_GBK" w:hAnsi="方正仿宋_GBK" w:eastAsia="方正仿宋_GBK" w:cs="方正仿宋_GBK"/>
          <w:sz w:val="32"/>
          <w:szCs w:val="32"/>
          <w:highlight w:val="none"/>
          <w:shd w:val="clear" w:color="auto" w:fill="FFFFFF"/>
        </w:rPr>
        <w:t>因是</w:t>
      </w:r>
      <w:r>
        <w:rPr>
          <w:rFonts w:hint="eastAsia" w:ascii="方正仿宋_GBK" w:hAnsi="方正仿宋_GBK" w:eastAsia="方正仿宋_GBK" w:cs="方正仿宋_GBK"/>
          <w:color w:val="auto"/>
          <w:sz w:val="32"/>
          <w:szCs w:val="32"/>
          <w:highlight w:val="none"/>
          <w:shd w:val="clear" w:color="auto" w:fill="FFFFFF"/>
          <w:lang w:eastAsia="zh-CN"/>
        </w:rPr>
        <w:t>年初预算的清漂资金</w:t>
      </w:r>
      <w:r>
        <w:rPr>
          <w:rFonts w:hint="eastAsia" w:ascii="方正仿宋_GBK" w:hAnsi="方正仿宋_GBK" w:eastAsia="方正仿宋_GBK" w:cs="方正仿宋_GBK"/>
          <w:color w:val="auto"/>
          <w:sz w:val="32"/>
          <w:szCs w:val="32"/>
          <w:highlight w:val="none"/>
          <w:shd w:val="clear" w:color="auto" w:fill="FFFFFF"/>
          <w:lang w:val="en-US" w:eastAsia="zh-CN"/>
        </w:rPr>
        <w:t>193万元里面含由各乡镇负责实施次级河流清漂资金36万元，</w:t>
      </w:r>
      <w:r>
        <w:rPr>
          <w:rFonts w:hint="eastAsia" w:ascii="方正仿宋_GBK" w:hAnsi="方正仿宋_GBK" w:eastAsia="方正仿宋_GBK" w:cs="方正仿宋_GBK"/>
          <w:color w:val="auto"/>
          <w:sz w:val="32"/>
          <w:szCs w:val="32"/>
          <w:highlight w:val="none"/>
          <w:shd w:val="clear" w:color="auto" w:fill="FFFFFF"/>
          <w:lang w:eastAsia="zh-CN"/>
        </w:rPr>
        <w:t>故决算数与年初预算数相比较有所下降</w:t>
      </w:r>
      <w:r>
        <w:rPr>
          <w:rFonts w:ascii="方正仿宋_GBK" w:hAnsi="方正仿宋_GBK" w:eastAsia="方正仿宋_GBK" w:cs="方正仿宋_GBK"/>
          <w:color w:val="auto"/>
          <w:sz w:val="32"/>
          <w:szCs w:val="32"/>
          <w:highlight w:val="none"/>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7251.37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89.44</w:t>
      </w:r>
      <w:r>
        <w:rPr>
          <w:rFonts w:ascii="方正仿宋_GBK" w:hAnsi="方正仿宋_GBK" w:eastAsia="方正仿宋_GBK" w:cs="方正仿宋_GBK"/>
          <w:sz w:val="32"/>
          <w:szCs w:val="32"/>
          <w:shd w:val="clear" w:color="auto" w:fill="FFFFFF"/>
        </w:rPr>
        <w:t>%，较年初预算数增加352.44万元，增长5.11%，主要原因</w:t>
      </w:r>
      <w:r>
        <w:rPr>
          <w:rFonts w:hint="eastAsia" w:ascii="方正仿宋_GBK" w:hAnsi="方正仿宋_GBK" w:eastAsia="方正仿宋_GBK" w:cs="方正仿宋_GBK"/>
          <w:color w:val="auto"/>
          <w:sz w:val="32"/>
          <w:szCs w:val="32"/>
          <w:shd w:val="clear" w:color="auto" w:fill="FFFFFF"/>
          <w:lang w:eastAsia="zh-CN"/>
        </w:rPr>
        <w:t>一</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机关</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lang w:val="en-US" w:eastAsia="zh-CN"/>
        </w:rPr>
        <w:t>2021年清理规范公务员工资津补贴、2022年补充结算、2023年结算支出等约112.08万元；二是下属事业单位新进人员工资待遇发放增加约140.36万元；三是年中关于解决2013年1月对外支付工程款差口等遗留问题的请示（溪城管文〔2023〕75号）资金100万元</w:t>
      </w:r>
      <w:r>
        <w:rPr>
          <w:rFonts w:ascii="方正仿宋_GBK" w:hAnsi="方正仿宋_GBK" w:eastAsia="方正仿宋_GBK" w:cs="方正仿宋_GBK"/>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356.21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4.39</w:t>
      </w:r>
      <w:r>
        <w:rPr>
          <w:rFonts w:ascii="方正仿宋_GBK" w:hAnsi="方正仿宋_GBK" w:eastAsia="方正仿宋_GBK" w:cs="方正仿宋_GBK"/>
          <w:sz w:val="32"/>
          <w:szCs w:val="32"/>
          <w:shd w:val="clear" w:color="auto" w:fill="FFFFFF"/>
        </w:rPr>
        <w:t>%，较年初预算数增加356.21万元，增长100.00%，</w:t>
      </w:r>
      <w:r>
        <w:rPr>
          <w:rFonts w:ascii="方正仿宋_GBK" w:hAnsi="方正仿宋_GBK" w:eastAsia="方正仿宋_GBK" w:cs="方正仿宋_GBK"/>
          <w:sz w:val="32"/>
          <w:szCs w:val="32"/>
          <w:highlight w:val="none"/>
          <w:shd w:val="clear" w:color="auto" w:fill="FFFFFF"/>
        </w:rPr>
        <w:t>主要原因</w:t>
      </w:r>
      <w:r>
        <w:rPr>
          <w:rFonts w:hint="eastAsia" w:ascii="方正仿宋_GBK" w:hAnsi="方正仿宋_GBK" w:eastAsia="方正仿宋_GBK" w:cs="方正仿宋_GBK"/>
          <w:color w:val="auto"/>
          <w:sz w:val="32"/>
          <w:szCs w:val="32"/>
          <w:highlight w:val="none"/>
          <w:shd w:val="clear" w:color="auto" w:fill="FFFFFF"/>
          <w:lang w:eastAsia="zh-CN"/>
        </w:rPr>
        <w:t>一</w:t>
      </w:r>
      <w:r>
        <w:rPr>
          <w:rFonts w:ascii="方正仿宋_GBK" w:hAnsi="方正仿宋_GBK" w:eastAsia="方正仿宋_GBK" w:cs="方正仿宋_GBK"/>
          <w:color w:val="auto"/>
          <w:sz w:val="32"/>
          <w:szCs w:val="32"/>
          <w:highlight w:val="none"/>
          <w:shd w:val="clear" w:color="auto" w:fill="FFFFFF"/>
        </w:rPr>
        <w:t>是</w:t>
      </w:r>
      <w:r>
        <w:rPr>
          <w:rFonts w:hint="eastAsia" w:ascii="方正仿宋_GBK" w:hAnsi="方正仿宋_GBK" w:eastAsia="方正仿宋_GBK" w:cs="方正仿宋_GBK"/>
          <w:color w:val="auto"/>
          <w:sz w:val="32"/>
          <w:szCs w:val="32"/>
          <w:highlight w:val="none"/>
          <w:shd w:val="clear" w:color="auto" w:fill="FFFFFF"/>
          <w:lang w:eastAsia="zh-CN"/>
        </w:rPr>
        <w:t>年中追加巩固脱贫攻坚成果衔接乡村振兴等</w:t>
      </w:r>
      <w:r>
        <w:rPr>
          <w:rFonts w:hint="eastAsia" w:ascii="方正仿宋_GBK" w:hAnsi="方正仿宋_GBK" w:eastAsia="方正仿宋_GBK" w:cs="方正仿宋_GBK"/>
          <w:color w:val="auto"/>
          <w:sz w:val="32"/>
          <w:szCs w:val="32"/>
          <w:highlight w:val="none"/>
          <w:shd w:val="clear" w:color="auto" w:fill="FFFFFF"/>
          <w:lang w:val="en-US" w:eastAsia="zh-CN"/>
        </w:rPr>
        <w:t>5个专项资金349.92万元；二是退回2022年度其他</w:t>
      </w:r>
      <w:r>
        <w:rPr>
          <w:rFonts w:hint="eastAsia" w:ascii="方正仿宋_GBK" w:hAnsi="方正仿宋_GBK" w:eastAsia="方正仿宋_GBK" w:cs="方正仿宋_GBK"/>
          <w:color w:val="auto"/>
          <w:sz w:val="32"/>
          <w:szCs w:val="32"/>
          <w:highlight w:val="none"/>
          <w:shd w:val="clear" w:color="auto" w:fill="FFFFFF"/>
          <w:lang w:eastAsia="zh-CN"/>
        </w:rPr>
        <w:t>巩固脱贫攻坚成果衔接乡村振兴资金</w:t>
      </w:r>
      <w:r>
        <w:rPr>
          <w:rFonts w:hint="eastAsia" w:ascii="方正仿宋_GBK" w:hAnsi="方正仿宋_GBK" w:eastAsia="方正仿宋_GBK" w:cs="方正仿宋_GBK"/>
          <w:color w:val="auto"/>
          <w:sz w:val="32"/>
          <w:szCs w:val="32"/>
          <w:highlight w:val="none"/>
          <w:shd w:val="clear" w:color="auto" w:fill="FFFFFF"/>
          <w:lang w:val="en-US" w:eastAsia="zh-CN"/>
        </w:rPr>
        <w:t>2笔指标结余给财政局，例2022年农村生活垃圾分类收集箱项目及乡镇垃圾中转站配套压缩设备和运行轨道采购项目结余资金6.29万元</w:t>
      </w:r>
      <w:r>
        <w:rPr>
          <w:rFonts w:ascii="方正仿宋_GBK" w:hAnsi="方正仿宋_GBK" w:eastAsia="方正仿宋_GBK" w:cs="方正仿宋_GBK"/>
          <w:color w:val="auto"/>
          <w:sz w:val="32"/>
          <w:szCs w:val="32"/>
          <w:highlight w:val="none"/>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楷体" w:hAnsi="楷体" w:eastAsia="楷体" w:cs="楷体"/>
          <w:b w:val="0"/>
          <w:bCs w:val="0"/>
          <w:sz w:val="32"/>
          <w:szCs w:val="32"/>
          <w:highlight w:val="none"/>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住房保障支出81.51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1.01</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我单位严格按预算执行相关支出</w:t>
      </w:r>
      <w:r>
        <w:rPr>
          <w:rFonts w:ascii="方正仿宋_GBK" w:hAnsi="方正仿宋_GBK" w:eastAsia="方正仿宋_GBK" w:cs="方正仿宋_GBK"/>
          <w:color w:val="auto"/>
          <w:sz w:val="32"/>
          <w:szCs w:val="32"/>
          <w:highlight w:val="none"/>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1694.75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1550.51</w:t>
      </w:r>
      <w:r>
        <w:rPr>
          <w:rFonts w:ascii="方正仿宋_GBK" w:hAnsi="方正仿宋_GBK" w:eastAsia="方正仿宋_GBK" w:cs="方正仿宋_GBK"/>
          <w:sz w:val="32"/>
          <w:szCs w:val="32"/>
          <w:shd w:val="clear" w:color="auto" w:fill="FFFFFF"/>
        </w:rPr>
        <w:t>万元，较上年决算数增加450.33万元，增长40.93%，主要原因是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一是本年度机关人员社保缴费调标增加；二是城管事务数字化智慧平台及日常事务支出增加。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人员的基本工资、津贴补贴、奖金、社保缴费、住房公积金及退休人员相关补贴</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144.24</w:t>
      </w:r>
      <w:r>
        <w:rPr>
          <w:rFonts w:ascii="方正仿宋_GBK" w:hAnsi="方正仿宋_GBK" w:eastAsia="方正仿宋_GBK" w:cs="方正仿宋_GBK"/>
          <w:sz w:val="32"/>
          <w:szCs w:val="32"/>
          <w:shd w:val="clear" w:color="auto" w:fill="FFFFFF"/>
        </w:rPr>
        <w:t>万元，较上年决算数减少4.74万元，下降3.18%，主要原因是</w:t>
      </w:r>
      <w:r>
        <w:rPr>
          <w:rFonts w:hint="eastAsia" w:ascii="方正仿宋_GBK" w:hAnsi="方正仿宋_GBK" w:eastAsia="方正仿宋_GBK" w:cs="方正仿宋_GBK"/>
          <w:color w:val="auto"/>
          <w:sz w:val="32"/>
          <w:szCs w:val="32"/>
          <w:shd w:val="clear" w:color="auto" w:fill="FFFFFF"/>
          <w:lang w:eastAsia="zh-CN"/>
        </w:rPr>
        <w:t>为了压缩开支，本年度没有预算会议费、减少了差旅费培训等公用经费额度</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机关日常办公费、印刷费、水电费、邮电费、培训费、租赁费、维修（护）费、差旅费、公务接待及公务用车运行维护费等相关支出</w:t>
      </w:r>
      <w:r>
        <w:rPr>
          <w:rFonts w:ascii="方正仿宋_GBK" w:hAnsi="方正仿宋_GBK" w:eastAsia="方正仿宋_GBK" w:cs="方正仿宋_GBK"/>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130.00</w:t>
      </w:r>
      <w:r>
        <w:rPr>
          <w:rFonts w:ascii="方正仿宋_GBK" w:hAnsi="方正仿宋_GBK" w:eastAsia="方正仿宋_GBK" w:cs="方正仿宋_GBK"/>
          <w:sz w:val="32"/>
          <w:szCs w:val="32"/>
          <w:shd w:val="clear" w:color="auto" w:fill="FFFFFF"/>
        </w:rPr>
        <w:t>万元，较上年决算数增加50.00万元，增长62.50%，主要原因是</w:t>
      </w:r>
      <w:r>
        <w:rPr>
          <w:rFonts w:hint="eastAsia" w:ascii="方正仿宋_GBK" w:hAnsi="方正仿宋_GBK" w:eastAsia="方正仿宋_GBK" w:cs="方正仿宋_GBK"/>
          <w:color w:val="auto"/>
          <w:sz w:val="32"/>
          <w:szCs w:val="32"/>
          <w:shd w:val="clear" w:color="auto" w:fill="FFFFFF"/>
          <w:lang w:val="en-US" w:eastAsia="zh-CN"/>
        </w:rPr>
        <w:t>年初</w:t>
      </w:r>
      <w:r>
        <w:rPr>
          <w:rFonts w:hint="eastAsia" w:ascii="方正仿宋_GBK" w:hAnsi="方正仿宋_GBK" w:eastAsia="方正仿宋_GBK" w:cs="方正仿宋_GBK"/>
          <w:color w:val="auto"/>
          <w:sz w:val="32"/>
          <w:szCs w:val="32"/>
          <w:shd w:val="clear" w:color="auto" w:fill="FFFFFF"/>
          <w:lang w:eastAsia="zh-CN"/>
        </w:rPr>
        <w:t>财政基金预算指标下达有所增加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130.00</w:t>
      </w:r>
      <w:r>
        <w:rPr>
          <w:rFonts w:ascii="方正仿宋_GBK" w:hAnsi="方正仿宋_GBK" w:eastAsia="方正仿宋_GBK" w:cs="方正仿宋_GBK"/>
          <w:sz w:val="32"/>
          <w:szCs w:val="32"/>
          <w:shd w:val="clear" w:color="auto" w:fill="FFFFFF"/>
        </w:rPr>
        <w:t>万元，较上年决算数增加50.00万元，增长62.50%，主要原因是</w:t>
      </w:r>
      <w:r>
        <w:rPr>
          <w:rFonts w:hint="eastAsia" w:ascii="方正仿宋_GBK" w:hAnsi="方正仿宋_GBK" w:eastAsia="方正仿宋_GBK" w:cs="方正仿宋_GBK"/>
          <w:color w:val="auto"/>
          <w:sz w:val="32"/>
          <w:szCs w:val="32"/>
          <w:shd w:val="clear" w:color="auto" w:fill="FFFFFF"/>
          <w:lang w:eastAsia="zh-CN"/>
        </w:rPr>
        <w:t>该款项全部用于三峡库区清漂项目，较上年决算数相应增加</w:t>
      </w:r>
      <w:r>
        <w:rPr>
          <w:rFonts w:ascii="方正仿宋_GBK" w:hAnsi="方正仿宋_GBK" w:eastAsia="方正仿宋_GBK" w:cs="方正仿宋_GBK"/>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ascii="楷体" w:hAnsi="楷体" w:eastAsia="楷体" w:cs="楷体"/>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本部门2023年度无国有资本经营预算财政拨款支出。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三、“三公”经费情况说明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shd w:val="clear" w:color="auto" w:fill="FFFFFF"/>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19.80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eastAsia="zh-CN"/>
        </w:rPr>
        <w:t>严格按预算执行相关支出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较上年支出数增加5.90万元，</w:t>
      </w:r>
      <w:r>
        <w:rPr>
          <w:rFonts w:ascii="方正仿宋_GBK" w:hAnsi="方正仿宋_GBK" w:eastAsia="方正仿宋_GBK" w:cs="方正仿宋_GBK"/>
          <w:color w:val="auto"/>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val="en-US" w:eastAsia="zh-CN"/>
        </w:rPr>
        <w:t>一是局机关公务用车运行维护费增加1.5万元；二是</w:t>
      </w:r>
      <w:r>
        <w:rPr>
          <w:rFonts w:hint="eastAsia" w:ascii="方正仿宋_GBK" w:hAnsi="方正仿宋_GBK" w:eastAsia="方正仿宋_GBK" w:cs="方正仿宋_GBK"/>
          <w:color w:val="auto"/>
          <w:sz w:val="32"/>
          <w:szCs w:val="32"/>
          <w:highlight w:val="none"/>
          <w:shd w:val="clear" w:color="auto" w:fill="FFFFFF"/>
          <w:lang w:val="en-US" w:eastAsia="zh-CN"/>
        </w:rPr>
        <w:t>因为下属事业单位在2022年度预算时对公用经费编制过于简单，只编制了办公费、邮电费和差旅费，而本年新编制了公务接待费等支出。</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年度未发生因公出国（境）费用支出</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年度未发生因公出国（境）费用支出</w:t>
      </w:r>
      <w:r>
        <w:rPr>
          <w:rFonts w:ascii="方正仿宋_GBK" w:hAnsi="方正仿宋_GBK" w:eastAsia="方正仿宋_GBK" w:cs="方正仿宋_GBK"/>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年度未发生公务车购置费支出</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年度未发生公务车购置费支出</w:t>
      </w:r>
      <w:r>
        <w:rPr>
          <w:rFonts w:ascii="方正仿宋_GBK" w:hAnsi="方正仿宋_GBK" w:eastAsia="方正仿宋_GBK" w:cs="方正仿宋_GBK"/>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val="en-US" w:eastAsia="zh-CN"/>
        </w:rPr>
        <w:t>局机关公务用车的洗车、年检、保险、油料费和维修费等支出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w:t>
      </w:r>
      <w:r>
        <w:rPr>
          <w:rFonts w:ascii="方正仿宋_GBK" w:hAnsi="方正仿宋_GBK" w:eastAsia="方正仿宋_GBK" w:cs="方正仿宋_GBK"/>
          <w:sz w:val="32"/>
          <w:szCs w:val="32"/>
          <w:highlight w:val="none"/>
          <w:shd w:val="clear" w:color="auto" w:fill="FFFFFF"/>
        </w:rPr>
        <w:t>无增减，主要原因是</w:t>
      </w:r>
      <w:r>
        <w:rPr>
          <w:rFonts w:hint="eastAsia" w:ascii="方正仿宋_GBK" w:hAnsi="方正仿宋_GBK" w:eastAsia="方正仿宋_GBK" w:cs="方正仿宋_GBK"/>
          <w:sz w:val="32"/>
          <w:szCs w:val="32"/>
          <w:highlight w:val="none"/>
        </w:rPr>
        <w:t>严格落实公车使用规定</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较</w:t>
      </w:r>
      <w:r>
        <w:rPr>
          <w:rFonts w:ascii="方正仿宋_GBK" w:hAnsi="方正仿宋_GBK" w:eastAsia="方正仿宋_GBK" w:cs="方正仿宋_GBK"/>
          <w:sz w:val="32"/>
          <w:szCs w:val="32"/>
          <w:shd w:val="clear" w:color="auto" w:fill="FFFFFF"/>
        </w:rPr>
        <w:t>上年支出数增加1.60万元，增长25.00%，主要原因是</w:t>
      </w:r>
      <w:r>
        <w:rPr>
          <w:rFonts w:hint="eastAsia" w:ascii="方正仿宋_GBK" w:hAnsi="方正仿宋_GBK" w:eastAsia="方正仿宋_GBK" w:cs="方正仿宋_GBK"/>
          <w:color w:val="auto"/>
          <w:sz w:val="32"/>
          <w:szCs w:val="32"/>
          <w:shd w:val="clear" w:color="auto" w:fill="FFFFFF"/>
          <w:lang w:eastAsia="zh-CN"/>
        </w:rPr>
        <w:t>机关公务车辆上年度维修费用没有结算完毕，且本年度公务车辆进行了一次大修，故支出有所增加</w:t>
      </w:r>
      <w:r>
        <w:rPr>
          <w:rFonts w:ascii="方正仿宋_GBK" w:hAnsi="方正仿宋_GBK" w:eastAsia="方正仿宋_GBK" w:cs="方正仿宋_GBK"/>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shd w:val="clear" w:color="auto" w:fill="FFFFFF"/>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11.80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val="en-US" w:eastAsia="zh-CN"/>
        </w:rPr>
        <w:t>创文复检指导工作、市环卫中心指导垃圾分类工作及考核工作事项接待支出、周边区县来巫交流执法经验等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按照县委县政府压减开支要求，</w:t>
      </w:r>
      <w:r>
        <w:rPr>
          <w:rFonts w:hint="eastAsia" w:ascii="方正仿宋_GBK" w:hAnsi="方正仿宋_GBK" w:eastAsia="方正仿宋_GBK" w:cs="方正仿宋_GBK"/>
          <w:color w:val="auto"/>
          <w:sz w:val="32"/>
          <w:szCs w:val="32"/>
          <w:shd w:val="clear" w:color="auto" w:fill="FFFFFF"/>
          <w:lang w:eastAsia="zh-CN"/>
        </w:rPr>
        <w:t>严格按预算执行相关</w:t>
      </w:r>
      <w:r>
        <w:rPr>
          <w:rFonts w:hint="eastAsia" w:ascii="方正仿宋_GBK" w:hAnsi="方正仿宋_GBK" w:eastAsia="方正仿宋_GBK" w:cs="方正仿宋_GBK"/>
          <w:color w:val="auto"/>
          <w:sz w:val="32"/>
          <w:szCs w:val="32"/>
          <w:highlight w:val="none"/>
          <w:shd w:val="clear" w:color="auto" w:fill="FFFFFF"/>
          <w:lang w:eastAsia="zh-CN"/>
        </w:rPr>
        <w:t>支出</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较上年支出数增加4.30万元，增长57.33%，主要原</w:t>
      </w:r>
      <w:r>
        <w:rPr>
          <w:rFonts w:hint="eastAsia" w:ascii="方正仿宋_GBK" w:hAnsi="方正仿宋_GBK" w:eastAsia="方正仿宋_GBK" w:cs="方正仿宋_GBK"/>
          <w:color w:val="auto"/>
          <w:sz w:val="32"/>
          <w:szCs w:val="32"/>
          <w:highlight w:val="none"/>
          <w:shd w:val="clear" w:color="auto" w:fill="FFFFFF"/>
          <w:lang w:eastAsia="zh-CN"/>
        </w:rPr>
        <w:t>因是</w:t>
      </w:r>
      <w:r>
        <w:rPr>
          <w:rFonts w:hint="eastAsia" w:ascii="方正仿宋_GBK" w:hAnsi="方正仿宋_GBK" w:eastAsia="方正仿宋_GBK" w:cs="方正仿宋_GBK"/>
          <w:color w:val="auto"/>
          <w:sz w:val="32"/>
          <w:szCs w:val="32"/>
          <w:highlight w:val="none"/>
          <w:shd w:val="clear" w:color="auto" w:fill="FFFFFF"/>
          <w:lang w:val="en-US" w:eastAsia="zh-CN"/>
        </w:rPr>
        <w:t>因为下属事业单</w:t>
      </w:r>
      <w:bookmarkStart w:id="0" w:name="_GoBack"/>
      <w:bookmarkEnd w:id="0"/>
      <w:r>
        <w:rPr>
          <w:rFonts w:hint="eastAsia" w:ascii="方正仿宋_GBK" w:hAnsi="方正仿宋_GBK" w:eastAsia="方正仿宋_GBK" w:cs="方正仿宋_GBK"/>
          <w:color w:val="auto"/>
          <w:sz w:val="32"/>
          <w:szCs w:val="32"/>
          <w:highlight w:val="none"/>
          <w:shd w:val="clear" w:color="auto" w:fill="FFFFFF"/>
          <w:lang w:val="en-US" w:eastAsia="zh-CN"/>
        </w:rPr>
        <w:t>位在2022年度预算时没有编制公务接待费，只编制了办公费、邮电费和差旅费，故公务接待费支出相应未发生，而本年度下属各事业单位新编制了公务接待费支出。</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1493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79.04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2.67</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2"/>
          <w:rFonts w:hint="eastAsia" w:ascii="方正楷体_GBK" w:hAnsi="方正楷体_GBK" w:eastAsia="方正楷体_GBK" w:cs="方正楷体_GBK"/>
          <w:b w:val="0"/>
          <w:bCs/>
          <w:sz w:val="32"/>
          <w:szCs w:val="32"/>
          <w:highlight w:val="none"/>
          <w:shd w:val="clear" w:color="auto" w:fill="FFFFFF"/>
          <w:lang w:val="en-US" w:eastAsia="zh-CN" w:bidi="ar-SA"/>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万元，较上年决算数减少2.20万元，下降100.00%，主要原因是</w:t>
      </w:r>
      <w:r>
        <w:rPr>
          <w:rFonts w:hint="eastAsia" w:ascii="方正仿宋_GBK" w:hAnsi="方正仿宋_GBK" w:eastAsia="方正仿宋_GBK" w:cs="方正仿宋_GBK"/>
          <w:color w:val="auto"/>
          <w:sz w:val="32"/>
          <w:szCs w:val="32"/>
          <w:shd w:val="clear" w:color="auto" w:fill="FFFFFF"/>
          <w:lang w:eastAsia="zh-CN"/>
        </w:rPr>
        <w:t>按照县委县政府“压减开支，过紧日子”的要求，尽量减少不必要的会议，如有必要也尽量召开视频会议，故在年初预算时编报会议费</w:t>
      </w:r>
      <w:r>
        <w:rPr>
          <w:rFonts w:hint="eastAsia" w:ascii="方正仿宋_GBK" w:hAnsi="方正仿宋_GBK" w:eastAsia="方正仿宋_GBK" w:cs="方正仿宋_GBK"/>
          <w:color w:val="auto"/>
          <w:sz w:val="32"/>
          <w:szCs w:val="32"/>
          <w:shd w:val="clear" w:color="auto" w:fill="FFFFFF"/>
          <w:lang w:val="en-US" w:eastAsia="zh-CN"/>
        </w:rPr>
        <w:t>有所减少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2.15</w:t>
      </w:r>
      <w:r>
        <w:rPr>
          <w:rFonts w:ascii="方正仿宋_GBK" w:hAnsi="方正仿宋_GBK" w:eastAsia="方正仿宋_GBK" w:cs="方正仿宋_GBK"/>
          <w:sz w:val="32"/>
          <w:szCs w:val="32"/>
          <w:shd w:val="clear" w:color="auto" w:fill="FFFFFF"/>
        </w:rPr>
        <w:t>万元，较上年决算数减少3.35万元，下降60.91%，</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按照县委县政府“压减开支，过紧日子”的要求，</w:t>
      </w:r>
      <w:r>
        <w:rPr>
          <w:rFonts w:hint="eastAsia" w:ascii="方正仿宋_GBK" w:hAnsi="方正仿宋_GBK" w:eastAsia="方正仿宋_GBK" w:cs="方正仿宋_GBK"/>
          <w:sz w:val="32"/>
          <w:szCs w:val="32"/>
          <w:highlight w:val="none"/>
        </w:rPr>
        <w:t>多数培训转为线上会议，导致培训费减少</w:t>
      </w:r>
      <w:r>
        <w:rPr>
          <w:rFonts w:hint="eastAsia" w:ascii="方正仿宋_GBK" w:hAnsi="方正仿宋_GBK" w:eastAsia="方正仿宋_GBK" w:cs="方正仿宋_GBK"/>
          <w:sz w:val="32"/>
          <w:szCs w:val="32"/>
          <w:highlight w:val="none"/>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keepNext w:val="0"/>
        <w:keepLines w:val="0"/>
        <w:pageBreakBefore w:val="0"/>
        <w:widowControl/>
        <w:kinsoku/>
        <w:wordWrap/>
        <w:overflowPunct/>
        <w:topLinePunct w:val="0"/>
        <w:autoSpaceDN/>
        <w:bidi w:val="0"/>
        <w:adjustRightInd/>
        <w:snapToGrid w:val="0"/>
        <w:spacing w:beforeAutospacing="0" w:afterAutospacing="0" w:line="600" w:lineRule="exact"/>
        <w:ind w:firstLine="640" w:firstLineChars="200"/>
        <w:textAlignment w:val="auto"/>
        <w:rPr>
          <w:rFonts w:hint="default" w:ascii="方正仿宋_GBK" w:hAnsi="方正仿宋_GBK" w:eastAsia="方正仿宋_GBK" w:cs="方正仿宋_GBK"/>
          <w:sz w:val="32"/>
          <w:szCs w:val="32"/>
          <w:highlight w:val="none"/>
          <w:shd w:val="clear" w:color="auto" w:fill="FFFFFF"/>
          <w:lang w:val="en-US" w:eastAsia="zh-CN"/>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89.34</w:t>
      </w:r>
      <w:r>
        <w:rPr>
          <w:rFonts w:ascii="方正仿宋_GBK" w:hAnsi="方正仿宋_GBK" w:eastAsia="方正仿宋_GBK" w:cs="方正仿宋_GBK"/>
          <w:sz w:val="32"/>
          <w:szCs w:val="32"/>
          <w:shd w:val="clear" w:color="auto" w:fill="FFFFFF"/>
        </w:rPr>
        <w:t>万元，机关运行经费</w:t>
      </w:r>
      <w:r>
        <w:rPr>
          <w:rFonts w:hint="eastAsia" w:ascii="方正仿宋_GBK" w:hAnsi="方正仿宋_GBK" w:eastAsia="方正仿宋_GBK" w:cs="方正仿宋_GBK"/>
          <w:sz w:val="32"/>
          <w:szCs w:val="32"/>
          <w:shd w:val="clear" w:color="auto" w:fill="FFFFFF"/>
          <w:lang w:val="en-US" w:eastAsia="zh-CN"/>
        </w:rPr>
        <w:t>是局机关和城管执法支队支出，主要</w:t>
      </w:r>
      <w:r>
        <w:rPr>
          <w:rFonts w:ascii="方正仿宋_GBK" w:hAnsi="方正仿宋_GBK" w:eastAsia="方正仿宋_GBK" w:cs="方正仿宋_GBK"/>
          <w:sz w:val="32"/>
          <w:szCs w:val="32"/>
          <w:shd w:val="clear" w:color="auto" w:fill="FFFFFF"/>
        </w:rPr>
        <w:t>用于</w:t>
      </w:r>
      <w:r>
        <w:rPr>
          <w:rFonts w:ascii="方正仿宋_GBK" w:hAnsi="方正仿宋_GBK" w:eastAsia="方正仿宋_GBK" w:cs="方正仿宋_GBK"/>
          <w:color w:val="auto"/>
          <w:sz w:val="32"/>
          <w:szCs w:val="32"/>
          <w:shd w:val="clear" w:color="auto" w:fill="FFFFFF"/>
        </w:rPr>
        <w:t>开支</w:t>
      </w:r>
      <w:r>
        <w:rPr>
          <w:rFonts w:hint="eastAsia" w:ascii="方正仿宋_GBK" w:hAnsi="方正仿宋_GBK" w:eastAsia="方正仿宋_GBK" w:cs="方正仿宋_GBK"/>
          <w:color w:val="auto"/>
          <w:sz w:val="32"/>
          <w:szCs w:val="32"/>
          <w:shd w:val="clear" w:color="auto" w:fill="FFFFFF"/>
          <w:lang w:eastAsia="zh-CN"/>
        </w:rPr>
        <w:t>日常运行办公经费，如办公费</w:t>
      </w:r>
      <w:r>
        <w:rPr>
          <w:rFonts w:hint="eastAsia" w:ascii="方正仿宋_GBK" w:hAnsi="方正仿宋_GBK" w:eastAsia="方正仿宋_GBK" w:cs="方正仿宋_GBK"/>
          <w:color w:val="auto"/>
          <w:sz w:val="32"/>
          <w:szCs w:val="32"/>
          <w:shd w:val="clear" w:color="auto" w:fill="FFFFFF"/>
          <w:lang w:val="en-US" w:eastAsia="zh-CN"/>
        </w:rPr>
        <w:t>17.9 万元 、印刷费3万元</w:t>
      </w:r>
      <w:r>
        <w:rPr>
          <w:rFonts w:hint="eastAsia" w:ascii="方正仿宋_GBK" w:hAnsi="仿宋" w:eastAsia="方正仿宋_GBK" w:cs="仿宋"/>
          <w:color w:val="auto"/>
          <w:sz w:val="32"/>
          <w:szCs w:val="32"/>
          <w:u w:val="none"/>
          <w:shd w:val="clear" w:color="auto" w:fill="FFFFFF"/>
        </w:rPr>
        <w:t>、</w:t>
      </w:r>
      <w:r>
        <w:rPr>
          <w:rFonts w:hint="eastAsia" w:ascii="方正仿宋_GBK" w:hAnsi="仿宋" w:eastAsia="方正仿宋_GBK" w:cs="仿宋"/>
          <w:color w:val="auto"/>
          <w:sz w:val="32"/>
          <w:szCs w:val="32"/>
          <w:u w:val="none"/>
          <w:shd w:val="clear" w:color="auto" w:fill="FFFFFF"/>
          <w:lang w:val="en-US" w:eastAsia="zh-CN"/>
        </w:rPr>
        <w:t>咨询费3万元、</w:t>
      </w:r>
      <w:r>
        <w:rPr>
          <w:rFonts w:hint="eastAsia" w:ascii="方正仿宋_GBK" w:hAnsi="方正仿宋_GBK" w:eastAsia="方正仿宋_GBK" w:cs="方正仿宋_GBK"/>
          <w:color w:val="auto"/>
          <w:sz w:val="32"/>
          <w:szCs w:val="32"/>
          <w:shd w:val="clear" w:color="auto" w:fill="FFFFFF"/>
          <w:lang w:eastAsia="zh-CN"/>
        </w:rPr>
        <w:t>水电费</w:t>
      </w:r>
      <w:r>
        <w:rPr>
          <w:rFonts w:hint="eastAsia" w:ascii="方正仿宋_GBK" w:hAnsi="方正仿宋_GBK" w:eastAsia="方正仿宋_GBK" w:cs="方正仿宋_GBK"/>
          <w:color w:val="auto"/>
          <w:sz w:val="32"/>
          <w:szCs w:val="32"/>
          <w:shd w:val="clear" w:color="auto" w:fill="FFFFFF"/>
          <w:lang w:val="en-US" w:eastAsia="zh-CN"/>
        </w:rPr>
        <w:t>9.4</w:t>
      </w:r>
      <w:r>
        <w:rPr>
          <w:rFonts w:hint="eastAsia" w:ascii="方正仿宋_GBK" w:hAnsi="方正仿宋_GBK" w:eastAsia="方正仿宋_GBK" w:cs="方正仿宋_GBK"/>
          <w:color w:val="auto"/>
          <w:sz w:val="32"/>
          <w:szCs w:val="32"/>
          <w:shd w:val="clear" w:color="auto" w:fill="FFFFFF"/>
          <w:lang w:eastAsia="zh-CN"/>
        </w:rPr>
        <w:t>万元、邮电费</w:t>
      </w:r>
      <w:r>
        <w:rPr>
          <w:rFonts w:hint="eastAsia" w:ascii="方正仿宋_GBK" w:hAnsi="方正仿宋_GBK" w:eastAsia="方正仿宋_GBK" w:cs="方正仿宋_GBK"/>
          <w:color w:val="auto"/>
          <w:sz w:val="32"/>
          <w:szCs w:val="32"/>
          <w:shd w:val="clear" w:color="auto" w:fill="FFFFFF"/>
          <w:lang w:val="en-US" w:eastAsia="zh-CN"/>
        </w:rPr>
        <w:t>4.8</w:t>
      </w:r>
      <w:r>
        <w:rPr>
          <w:rFonts w:hint="eastAsia" w:ascii="方正仿宋_GBK" w:hAnsi="方正仿宋_GBK" w:eastAsia="方正仿宋_GBK" w:cs="方正仿宋_GBK"/>
          <w:color w:val="auto"/>
          <w:sz w:val="32"/>
          <w:szCs w:val="32"/>
          <w:shd w:val="clear" w:color="auto" w:fill="FFFFFF"/>
          <w:lang w:eastAsia="zh-CN"/>
        </w:rPr>
        <w:t>万元、</w:t>
      </w:r>
      <w:r>
        <w:rPr>
          <w:rFonts w:hint="eastAsia" w:ascii="方正仿宋_GBK" w:hAnsi="方正仿宋_GBK" w:eastAsia="方正仿宋_GBK" w:cs="方正仿宋_GBK"/>
          <w:color w:val="auto"/>
          <w:sz w:val="32"/>
          <w:szCs w:val="32"/>
          <w:shd w:val="clear" w:color="auto" w:fill="FFFFFF"/>
          <w:lang w:val="en-US" w:eastAsia="zh-CN"/>
        </w:rPr>
        <w:t>物业费4万元、</w:t>
      </w:r>
      <w:r>
        <w:rPr>
          <w:rFonts w:hint="eastAsia" w:ascii="方正仿宋_GBK" w:hAnsi="方正仿宋_GBK" w:eastAsia="方正仿宋_GBK" w:cs="方正仿宋_GBK"/>
          <w:color w:val="auto"/>
          <w:sz w:val="32"/>
          <w:szCs w:val="32"/>
          <w:shd w:val="clear" w:color="auto" w:fill="FFFFFF"/>
          <w:lang w:eastAsia="zh-CN"/>
        </w:rPr>
        <w:t>差旅费</w:t>
      </w:r>
      <w:r>
        <w:rPr>
          <w:rFonts w:hint="eastAsia" w:ascii="方正仿宋_GBK" w:hAnsi="方正仿宋_GBK" w:eastAsia="方正仿宋_GBK" w:cs="方正仿宋_GBK"/>
          <w:color w:val="auto"/>
          <w:sz w:val="32"/>
          <w:szCs w:val="32"/>
          <w:shd w:val="clear" w:color="auto" w:fill="FFFFFF"/>
          <w:lang w:val="en-US" w:eastAsia="zh-CN"/>
        </w:rPr>
        <w:t>4.5</w:t>
      </w:r>
      <w:r>
        <w:rPr>
          <w:rFonts w:hint="eastAsia" w:ascii="方正仿宋_GBK" w:hAnsi="方正仿宋_GBK" w:eastAsia="方正仿宋_GBK" w:cs="方正仿宋_GBK"/>
          <w:color w:val="auto"/>
          <w:sz w:val="32"/>
          <w:szCs w:val="32"/>
          <w:shd w:val="clear" w:color="auto" w:fill="FFFFFF"/>
          <w:lang w:eastAsia="zh-CN"/>
        </w:rPr>
        <w:t>万元、</w:t>
      </w:r>
      <w:r>
        <w:rPr>
          <w:rFonts w:hint="eastAsia" w:ascii="方正仿宋_GBK" w:hAnsi="方正仿宋_GBK" w:eastAsia="方正仿宋_GBK" w:cs="方正仿宋_GBK"/>
          <w:color w:val="auto"/>
          <w:sz w:val="32"/>
          <w:szCs w:val="32"/>
          <w:shd w:val="clear" w:color="auto" w:fill="FFFFFF"/>
          <w:lang w:val="en-US" w:eastAsia="zh-CN"/>
        </w:rPr>
        <w:t>维（修）护费2万元、租赁费1.8万元、</w:t>
      </w:r>
      <w:r>
        <w:rPr>
          <w:rFonts w:hint="eastAsia" w:ascii="方正仿宋_GBK" w:hAnsi="方正仿宋_GBK" w:eastAsia="方正仿宋_GBK" w:cs="方正仿宋_GBK"/>
          <w:color w:val="auto"/>
          <w:sz w:val="32"/>
          <w:szCs w:val="32"/>
          <w:shd w:val="clear" w:color="auto" w:fill="FFFFFF"/>
          <w:lang w:eastAsia="zh-CN"/>
        </w:rPr>
        <w:t>培训费</w:t>
      </w:r>
      <w:r>
        <w:rPr>
          <w:rFonts w:hint="eastAsia" w:ascii="方正仿宋_GBK" w:hAnsi="方正仿宋_GBK" w:eastAsia="方正仿宋_GBK" w:cs="方正仿宋_GBK"/>
          <w:color w:val="auto"/>
          <w:sz w:val="32"/>
          <w:szCs w:val="32"/>
          <w:shd w:val="clear" w:color="auto" w:fill="FFFFFF"/>
          <w:lang w:val="en-US" w:eastAsia="zh-CN"/>
        </w:rPr>
        <w:t>1.5</w:t>
      </w:r>
      <w:r>
        <w:rPr>
          <w:rFonts w:hint="eastAsia" w:ascii="方正仿宋_GBK" w:hAnsi="方正仿宋_GBK" w:eastAsia="方正仿宋_GBK" w:cs="方正仿宋_GBK"/>
          <w:color w:val="auto"/>
          <w:sz w:val="32"/>
          <w:szCs w:val="32"/>
          <w:shd w:val="clear" w:color="auto" w:fill="FFFFFF"/>
          <w:lang w:eastAsia="zh-CN"/>
        </w:rPr>
        <w:t>万元、公务接待费</w:t>
      </w:r>
      <w:r>
        <w:rPr>
          <w:rFonts w:hint="eastAsia" w:ascii="方正仿宋_GBK" w:hAnsi="方正仿宋_GBK" w:eastAsia="方正仿宋_GBK" w:cs="方正仿宋_GBK"/>
          <w:color w:val="auto"/>
          <w:sz w:val="32"/>
          <w:szCs w:val="32"/>
          <w:shd w:val="clear" w:color="auto" w:fill="FFFFFF"/>
          <w:lang w:val="en-US" w:eastAsia="zh-CN"/>
        </w:rPr>
        <w:t>8</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eastAsia="zh-CN"/>
        </w:rPr>
        <w:t>万元、工会福利费</w:t>
      </w:r>
      <w:r>
        <w:rPr>
          <w:rFonts w:hint="eastAsia" w:ascii="方正仿宋_GBK" w:hAnsi="方正仿宋_GBK" w:eastAsia="方正仿宋_GBK" w:cs="方正仿宋_GBK"/>
          <w:color w:val="auto"/>
          <w:sz w:val="32"/>
          <w:szCs w:val="32"/>
          <w:shd w:val="clear" w:color="auto" w:fill="FFFFFF"/>
          <w:lang w:val="en-US" w:eastAsia="zh-CN"/>
        </w:rPr>
        <w:t>6.32</w:t>
      </w:r>
      <w:r>
        <w:rPr>
          <w:rFonts w:hint="eastAsia" w:ascii="方正仿宋_GBK" w:hAnsi="方正仿宋_GBK" w:eastAsia="方正仿宋_GBK" w:cs="方正仿宋_GBK"/>
          <w:color w:val="auto"/>
          <w:sz w:val="32"/>
          <w:szCs w:val="32"/>
          <w:shd w:val="clear" w:color="auto" w:fill="FFFFFF"/>
          <w:lang w:eastAsia="zh-CN"/>
        </w:rPr>
        <w:t>万元、公务用车运行维护费</w:t>
      </w:r>
      <w:r>
        <w:rPr>
          <w:rFonts w:hint="eastAsia" w:ascii="方正仿宋_GBK" w:hAnsi="方正仿宋_GBK" w:eastAsia="方正仿宋_GBK" w:cs="方正仿宋_GBK"/>
          <w:color w:val="auto"/>
          <w:sz w:val="32"/>
          <w:szCs w:val="32"/>
          <w:shd w:val="clear" w:color="auto" w:fill="FFFFFF"/>
          <w:lang w:val="en-US" w:eastAsia="zh-CN"/>
        </w:rPr>
        <w:t>8</w:t>
      </w:r>
      <w:r>
        <w:rPr>
          <w:rFonts w:hint="eastAsia" w:ascii="方正仿宋_GBK" w:hAnsi="方正仿宋_GBK" w:eastAsia="方正仿宋_GBK" w:cs="方正仿宋_GBK"/>
          <w:color w:val="auto"/>
          <w:sz w:val="32"/>
          <w:szCs w:val="32"/>
          <w:shd w:val="clear" w:color="auto" w:fill="FFFFFF"/>
          <w:lang w:eastAsia="zh-CN"/>
        </w:rPr>
        <w:t>万元、其他交通费用</w:t>
      </w:r>
      <w:r>
        <w:rPr>
          <w:rFonts w:hint="eastAsia" w:ascii="方正仿宋_GBK" w:hAnsi="方正仿宋_GBK" w:eastAsia="方正仿宋_GBK" w:cs="方正仿宋_GBK"/>
          <w:color w:val="auto"/>
          <w:sz w:val="32"/>
          <w:szCs w:val="32"/>
          <w:shd w:val="clear" w:color="auto" w:fill="FFFFFF"/>
          <w:lang w:val="en-US" w:eastAsia="zh-CN"/>
        </w:rPr>
        <w:t>9.79</w:t>
      </w:r>
      <w:r>
        <w:rPr>
          <w:rFonts w:hint="eastAsia" w:ascii="方正仿宋_GBK" w:hAnsi="方正仿宋_GBK" w:eastAsia="方正仿宋_GBK" w:cs="方正仿宋_GBK"/>
          <w:color w:val="auto"/>
          <w:sz w:val="32"/>
          <w:szCs w:val="32"/>
          <w:shd w:val="clear" w:color="auto" w:fill="FFFFFF"/>
          <w:lang w:eastAsia="zh-CN"/>
        </w:rPr>
        <w:t>万元、</w:t>
      </w:r>
      <w:r>
        <w:rPr>
          <w:rFonts w:hint="eastAsia" w:ascii="方正仿宋_GBK" w:hAnsi="方正仿宋_GBK" w:eastAsia="方正仿宋_GBK" w:cs="方正仿宋_GBK"/>
          <w:color w:val="auto"/>
          <w:sz w:val="32"/>
          <w:szCs w:val="32"/>
          <w:shd w:val="clear" w:color="auto" w:fill="FFFFFF"/>
          <w:lang w:val="en-US" w:eastAsia="zh-CN"/>
        </w:rPr>
        <w:t>专用设备购置5万元、</w:t>
      </w:r>
      <w:r>
        <w:rPr>
          <w:rFonts w:hint="eastAsia" w:ascii="方正仿宋_GBK" w:hAnsi="方正仿宋_GBK" w:eastAsia="方正仿宋_GBK" w:cs="方正仿宋_GBK"/>
          <w:color w:val="auto"/>
          <w:sz w:val="32"/>
          <w:szCs w:val="32"/>
          <w:shd w:val="clear" w:color="auto" w:fill="FFFFFF"/>
          <w:lang w:eastAsia="zh-CN"/>
        </w:rPr>
        <w:t>其他商品和服务支出0.</w:t>
      </w:r>
      <w:r>
        <w:rPr>
          <w:rFonts w:hint="eastAsia" w:ascii="方正仿宋_GBK" w:hAnsi="方正仿宋_GBK" w:eastAsia="方正仿宋_GBK" w:cs="方正仿宋_GBK"/>
          <w:color w:val="auto"/>
          <w:sz w:val="32"/>
          <w:szCs w:val="32"/>
          <w:shd w:val="clear" w:color="auto" w:fill="FFFFFF"/>
          <w:lang w:val="en-US" w:eastAsia="zh-CN"/>
        </w:rPr>
        <w:t>23</w:t>
      </w:r>
      <w:r>
        <w:rPr>
          <w:rFonts w:hint="eastAsia" w:ascii="方正仿宋_GBK" w:hAnsi="方正仿宋_GBK" w:eastAsia="方正仿宋_GBK" w:cs="方正仿宋_GBK"/>
          <w:color w:val="auto"/>
          <w:sz w:val="32"/>
          <w:szCs w:val="32"/>
          <w:shd w:val="clear" w:color="auto" w:fill="FFFFFF"/>
          <w:lang w:eastAsia="zh-CN"/>
        </w:rPr>
        <w:t>万元等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机关运行经费较上年支出数增加</w:t>
      </w:r>
      <w:r>
        <w:rPr>
          <w:rFonts w:ascii="方正仿宋_GBK" w:hAnsi="方正仿宋_GBK" w:eastAsia="方正仿宋_GBK" w:cs="方正仿宋_GBK"/>
          <w:sz w:val="32"/>
          <w:szCs w:val="32"/>
          <w:highlight w:val="none"/>
          <w:shd w:val="clear" w:color="auto" w:fill="FFFFFF"/>
        </w:rPr>
        <w:t>30.25万元，增长51.19%，主要原因是</w:t>
      </w:r>
      <w:r>
        <w:rPr>
          <w:rFonts w:hint="eastAsia" w:ascii="方正仿宋_GBK" w:hAnsi="方正仿宋_GBK" w:eastAsia="方正仿宋_GBK" w:cs="方正仿宋_GBK"/>
          <w:sz w:val="32"/>
          <w:szCs w:val="32"/>
          <w:highlight w:val="none"/>
          <w:shd w:val="clear" w:color="auto" w:fill="FFFFFF"/>
          <w:lang w:val="en-US" w:eastAsia="zh-CN"/>
        </w:rPr>
        <w:t>下属事业单位城管执法支队为规范管理，2023年该单位新增的参公人员往年预算均在机关巫溪县城市管理局，故数据较上年增加，且增加100%。按照2023年部门决算列报口径，填报时必须将单位改为参照公务员管理单位，且须将本单位本年度所有正式人员（28人）公用经费纳入运行经费中才能上报通过，故该单位2023年较上年运行经费上涨。同时因该单位实际为公益一类事业单位，且未纳入参照公务员管理，故机关运行经费支出经费增幅偏大。</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56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53</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仿宋" w:eastAsia="方正仿宋_GBK" w:cs="仿宋"/>
          <w:color w:val="auto"/>
          <w:kern w:val="0"/>
          <w:sz w:val="32"/>
          <w:szCs w:val="32"/>
          <w:u w:val="none"/>
          <w:shd w:val="clear" w:color="auto" w:fill="FFFFFF"/>
          <w:lang w:val="en-US" w:eastAsia="zh-CN"/>
        </w:rPr>
        <w:t>本年度资产总计180519.42万元，较去年减少1314.53万元，减少0.72%，其主要原因一是2023年进行了固定资产折旧导致固定资产净值减少；二是调账冲销往来款项致使其他应付款余额减少；三是收回部分以前度垫付的职工五险一金个人部分和个人应收款项，故本年度其他应收款净额相应减少。另根据行政单位账务要求，不能有借款科目反应，年中已将年初短期借款2925万元调整到长期应付款项中</w:t>
      </w:r>
      <w:r>
        <w:rPr>
          <w:rFonts w:hint="default" w:ascii="方正仿宋_GBK" w:hAnsi="方正仿宋_GBK" w:eastAsia="方正仿宋_GBK" w:cs="方正仿宋_GBK"/>
          <w:color w:val="auto"/>
          <w:sz w:val="32"/>
          <w:szCs w:val="32"/>
        </w:rPr>
        <w:t>。</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175.35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175.35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175.35万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175.35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val="en-US" w:eastAsia="zh-CN"/>
        </w:rPr>
        <w:t>巫溪县</w:t>
      </w:r>
      <w:r>
        <w:rPr>
          <w:rFonts w:hint="eastAsia" w:ascii="方正仿宋_GBK" w:hAnsi="方正仿宋_GBK" w:eastAsia="方正仿宋_GBK" w:cs="方正仿宋_GBK"/>
          <w:color w:val="auto"/>
          <w:sz w:val="32"/>
          <w:szCs w:val="32"/>
          <w:shd w:val="clear" w:color="auto" w:fill="FFFFFF"/>
          <w:lang w:eastAsia="zh-CN"/>
        </w:rPr>
        <w:t>农村生活</w:t>
      </w:r>
      <w:r>
        <w:rPr>
          <w:rFonts w:hint="eastAsia" w:ascii="方正仿宋_GBK" w:hAnsi="仿宋" w:eastAsia="方正仿宋_GBK" w:cs="仿宋"/>
          <w:color w:val="auto"/>
          <w:sz w:val="32"/>
          <w:szCs w:val="32"/>
          <w:u w:val="none"/>
          <w:shd w:val="clear" w:color="auto" w:fill="FFFFFF"/>
        </w:rPr>
        <w:t>垃圾分类收集箱、垃圾压缩机及配套设备购买等</w:t>
      </w:r>
      <w:r>
        <w:rPr>
          <w:rFonts w:hint="eastAsia" w:ascii="方正仿宋_GBK" w:hAnsi="仿宋" w:eastAsia="方正仿宋_GBK" w:cs="仿宋"/>
          <w:color w:val="auto"/>
          <w:sz w:val="32"/>
          <w:szCs w:val="32"/>
          <w:u w:val="none"/>
          <w:shd w:val="clear" w:color="auto" w:fill="FFFFFF"/>
          <w:lang w:eastAsia="zh-CN"/>
        </w:rPr>
        <w:t>。</w:t>
      </w:r>
      <w:r>
        <w:rPr>
          <w:rFonts w:hint="eastAsia" w:ascii="方正仿宋_GBK" w:hAnsi="仿宋" w:eastAsia="方正仿宋_GBK" w:cs="仿宋"/>
          <w:color w:val="auto"/>
          <w:sz w:val="32"/>
          <w:szCs w:val="32"/>
          <w:u w:val="none"/>
          <w:shd w:val="clear" w:color="auto" w:fill="FFFFFF"/>
        </w:rPr>
        <w:t>较上年决算数减少</w:t>
      </w:r>
      <w:r>
        <w:rPr>
          <w:rFonts w:hint="eastAsia" w:ascii="方正仿宋_GBK" w:hAnsi="仿宋" w:eastAsia="方正仿宋_GBK" w:cs="仿宋"/>
          <w:color w:val="auto"/>
          <w:sz w:val="32"/>
          <w:szCs w:val="32"/>
          <w:u w:val="none"/>
          <w:shd w:val="clear" w:color="auto" w:fill="FFFFFF"/>
          <w:lang w:val="en-US" w:eastAsia="zh-CN"/>
        </w:rPr>
        <w:t>652.93</w:t>
      </w:r>
      <w:r>
        <w:rPr>
          <w:rFonts w:hint="eastAsia" w:ascii="方正仿宋_GBK" w:hAnsi="仿宋" w:eastAsia="方正仿宋_GBK" w:cs="仿宋"/>
          <w:color w:val="auto"/>
          <w:sz w:val="32"/>
          <w:szCs w:val="32"/>
          <w:u w:val="none"/>
          <w:shd w:val="clear" w:color="auto" w:fill="FFFFFF"/>
        </w:rPr>
        <w:t>万元，下降</w:t>
      </w:r>
      <w:r>
        <w:rPr>
          <w:rFonts w:hint="eastAsia" w:ascii="方正仿宋_GBK" w:hAnsi="仿宋" w:eastAsia="方正仿宋_GBK" w:cs="仿宋"/>
          <w:color w:val="auto"/>
          <w:sz w:val="32"/>
          <w:szCs w:val="32"/>
          <w:u w:val="none"/>
          <w:shd w:val="clear" w:color="auto" w:fill="FFFFFF"/>
          <w:lang w:val="en-US" w:eastAsia="zh-CN"/>
        </w:rPr>
        <w:t>78.83</w:t>
      </w:r>
      <w:r>
        <w:rPr>
          <w:rFonts w:hint="eastAsia" w:ascii="方正仿宋_GBK" w:hAnsi="仿宋" w:eastAsia="方正仿宋_GBK" w:cs="仿宋"/>
          <w:color w:val="auto"/>
          <w:sz w:val="32"/>
          <w:szCs w:val="32"/>
          <w:u w:val="none"/>
          <w:shd w:val="clear" w:color="auto" w:fill="FFFFFF"/>
        </w:rPr>
        <w:t>%，主要原因</w:t>
      </w:r>
      <w:r>
        <w:rPr>
          <w:rFonts w:hint="eastAsia" w:ascii="方正仿宋_GBK" w:hAnsi="仿宋" w:eastAsia="方正仿宋_GBK" w:cs="仿宋"/>
          <w:color w:val="auto"/>
          <w:sz w:val="32"/>
          <w:szCs w:val="32"/>
          <w:u w:val="none"/>
          <w:shd w:val="clear" w:color="auto" w:fill="FFFFFF"/>
          <w:lang w:val="en-US" w:eastAsia="zh-CN"/>
        </w:rPr>
        <w:t>是下属单位原购买服务人员相关费用支出调整到项目中去，不再机关政府采购服务中占比</w:t>
      </w:r>
      <w:r>
        <w:rPr>
          <w:rFonts w:ascii="方正仿宋_GBK" w:hAnsi="方正仿宋_GBK" w:eastAsia="方正仿宋_GBK" w:cs="方正仿宋_GBK"/>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lang w:val="en-US" w:eastAsia="zh-CN"/>
        </w:rPr>
        <w:t>五、</w:t>
      </w:r>
      <w:r>
        <w:rPr>
          <w:rStyle w:val="12"/>
          <w:rFonts w:hint="eastAsia" w:ascii="方正黑体_GBK" w:hAnsi="方正黑体_GBK" w:eastAsia="方正黑体_GBK" w:cs="方正黑体_GBK"/>
          <w:b w:val="0"/>
          <w:bCs/>
          <w:sz w:val="32"/>
          <w:szCs w:val="32"/>
          <w:shd w:val="clear" w:color="auto" w:fill="FFFFFF"/>
        </w:rPr>
        <w:t>预算绩效管理情况说</w:t>
      </w:r>
      <w:r>
        <w:rPr>
          <w:rStyle w:val="12"/>
          <w:rFonts w:hint="eastAsia" w:ascii="方正黑体_GBK" w:hAnsi="方正黑体_GBK" w:eastAsia="方正黑体_GBK" w:cs="方正黑体_GBK"/>
          <w:b w:val="0"/>
          <w:bCs/>
          <w:sz w:val="32"/>
          <w:szCs w:val="32"/>
          <w:shd w:val="clear" w:color="auto" w:fill="FFFFFF"/>
          <w:lang w:val="en-US" w:eastAsia="zh-CN"/>
        </w:rPr>
        <w:t>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（一）部门自评情况</w:t>
      </w:r>
    </w:p>
    <w:p>
      <w:pPr>
        <w:pStyle w:val="14"/>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highlight w:val="none"/>
          <w:shd w:val="clear" w:color="auto" w:fill="FFFFFF"/>
          <w:lang w:eastAsia="zh-CN"/>
        </w:rPr>
      </w:pPr>
      <w:r>
        <w:rPr>
          <w:rFonts w:hint="eastAsia" w:ascii="方正仿宋_GBK" w:hAnsi="方正仿宋_GBK" w:eastAsia="方正仿宋_GBK" w:cs="方正仿宋_GBK"/>
          <w:sz w:val="32"/>
          <w:szCs w:val="32"/>
          <w:highlight w:val="none"/>
          <w:shd w:val="clear" w:color="auto" w:fill="FFFFFF"/>
        </w:rPr>
        <w:t>根据预算绩效管理要求，我单位对部门整体和</w:t>
      </w:r>
      <w:r>
        <w:rPr>
          <w:rFonts w:hint="eastAsia" w:ascii="方正仿宋_GBK" w:hAnsi="方正仿宋_GBK" w:eastAsia="方正仿宋_GBK" w:cs="方正仿宋_GBK"/>
          <w:sz w:val="32"/>
          <w:szCs w:val="32"/>
          <w:highlight w:val="none"/>
          <w:shd w:val="clear" w:color="auto" w:fill="FFFFFF"/>
          <w:lang w:val="en-US" w:eastAsia="zh-CN"/>
        </w:rPr>
        <w:t>19</w:t>
      </w:r>
      <w:r>
        <w:rPr>
          <w:rFonts w:hint="eastAsia" w:ascii="方正仿宋_GBK" w:hAnsi="方正仿宋_GBK" w:eastAsia="方正仿宋_GBK" w:cs="方正仿宋_GBK"/>
          <w:sz w:val="32"/>
          <w:szCs w:val="32"/>
          <w:highlight w:val="none"/>
          <w:shd w:val="clear" w:color="auto" w:fill="FFFFFF"/>
        </w:rPr>
        <w:t>个</w:t>
      </w:r>
      <w:r>
        <w:rPr>
          <w:rFonts w:hint="eastAsia" w:ascii="方正仿宋_GBK" w:hAnsi="方正仿宋_GBK" w:eastAsia="方正仿宋_GBK" w:cs="方正仿宋_GBK"/>
          <w:sz w:val="32"/>
          <w:szCs w:val="32"/>
          <w:highlight w:val="none"/>
          <w:shd w:val="clear" w:color="auto" w:fill="FFFFFF"/>
          <w:lang w:val="en-US" w:eastAsia="zh-CN"/>
        </w:rPr>
        <w:t>二</w:t>
      </w:r>
      <w:r>
        <w:rPr>
          <w:rFonts w:hint="eastAsia" w:ascii="方正仿宋_GBK" w:hAnsi="方正仿宋_GBK" w:eastAsia="方正仿宋_GBK" w:cs="方正仿宋_GBK"/>
          <w:sz w:val="32"/>
          <w:szCs w:val="32"/>
          <w:highlight w:val="none"/>
          <w:shd w:val="clear" w:color="auto" w:fill="FFFFFF"/>
        </w:rPr>
        <w:t>级项目开展了绩效自评，涉及财政拨款项目支出资金</w:t>
      </w:r>
      <w:r>
        <w:rPr>
          <w:rFonts w:hint="eastAsia" w:ascii="方正仿宋_GBK" w:hAnsi="方正仿宋_GBK" w:eastAsia="方正仿宋_GBK" w:cs="方正仿宋_GBK"/>
          <w:sz w:val="32"/>
          <w:szCs w:val="32"/>
          <w:highlight w:val="none"/>
          <w:shd w:val="clear" w:color="auto" w:fill="FFFFFF"/>
          <w:lang w:val="en-US" w:eastAsia="zh-CN"/>
        </w:rPr>
        <w:t>8237.96</w:t>
      </w:r>
      <w:r>
        <w:rPr>
          <w:rFonts w:hint="eastAsia" w:ascii="方正仿宋_GBK" w:hAnsi="方正仿宋_GBK" w:eastAsia="方正仿宋_GBK" w:cs="方正仿宋_GBK"/>
          <w:sz w:val="32"/>
          <w:szCs w:val="32"/>
          <w:highlight w:val="none"/>
          <w:shd w:val="clear" w:color="auto" w:fill="FFFFFF"/>
        </w:rPr>
        <w:t>万元</w:t>
      </w:r>
      <w:r>
        <w:rPr>
          <w:rFonts w:hint="eastAsia" w:ascii="方正仿宋_GBK" w:hAnsi="方正仿宋_GBK" w:eastAsia="方正仿宋_GBK" w:cs="方正仿宋_GBK"/>
          <w:sz w:val="32"/>
          <w:szCs w:val="32"/>
          <w:highlight w:val="none"/>
          <w:shd w:val="clear" w:color="auto" w:fill="FFFFFF"/>
          <w:lang w:eastAsia="zh-CN"/>
        </w:rPr>
        <w:t>，自评</w:t>
      </w:r>
      <w:r>
        <w:rPr>
          <w:rFonts w:hint="eastAsia" w:ascii="方正仿宋_GBK" w:hAnsi="方正仿宋_GBK" w:eastAsia="方正仿宋_GBK" w:cs="方正仿宋_GBK"/>
          <w:sz w:val="32"/>
          <w:szCs w:val="32"/>
          <w:highlight w:val="none"/>
          <w:shd w:val="clear" w:color="auto" w:fill="FFFFFF"/>
          <w:lang w:val="en-US" w:eastAsia="zh-CN"/>
        </w:rPr>
        <w:t>完成情况良好</w:t>
      </w:r>
      <w:r>
        <w:rPr>
          <w:rFonts w:hint="eastAsia" w:ascii="方正仿宋_GBK" w:hAnsi="方正仿宋_GBK" w:eastAsia="方正仿宋_GBK" w:cs="方正仿宋_GBK"/>
          <w:sz w:val="32"/>
          <w:szCs w:val="32"/>
          <w:highlight w:val="none"/>
          <w:shd w:val="clear" w:color="auto" w:fill="FFFFFF"/>
          <w:lang w:eastAsia="zh-CN"/>
        </w:rPr>
        <w:t>。</w:t>
      </w:r>
    </w:p>
    <w:p>
      <w:pPr>
        <w:pStyle w:val="14"/>
        <w:autoSpaceDE w:val="0"/>
        <w:spacing w:before="0" w:beforeAutospacing="0" w:line="600" w:lineRule="exact"/>
        <w:rPr>
          <w:rFonts w:hint="eastAsia" w:ascii="方正仿宋_GBK" w:hAnsi="方正仿宋_GBK" w:eastAsia="方正仿宋_GBK" w:cs="方正仿宋_GBK"/>
          <w:sz w:val="32"/>
          <w:szCs w:val="32"/>
          <w:shd w:val="clear" w:color="auto" w:fill="FFFFFF"/>
        </w:rPr>
      </w:pPr>
    </w:p>
    <w:p>
      <w:pPr>
        <w:pStyle w:val="14"/>
        <w:keepNext w:val="0"/>
        <w:keepLines w:val="0"/>
        <w:pageBreakBefore w:val="0"/>
        <w:widowControl/>
        <w:kinsoku/>
        <w:wordWrap/>
        <w:overflowPunct/>
        <w:topLinePunct w:val="0"/>
        <w:autoSpaceDE w:val="0"/>
        <w:autoSpaceDN/>
        <w:bidi w:val="0"/>
        <w:adjustRightInd/>
        <w:spacing w:before="0" w:beforeAutospacing="0" w:afterAutospacing="0" w:line="600" w:lineRule="exact"/>
        <w:ind w:firstLine="640" w:firstLineChars="200"/>
        <w:textAlignment w:val="auto"/>
        <w:rPr>
          <w:rFonts w:hint="eastAsia" w:ascii="方正仿宋_GBK" w:hAnsi="方正仿宋_GBK" w:eastAsia="方正仿宋_GBK" w:cs="方正仿宋_GBK"/>
          <w:sz w:val="32"/>
          <w:szCs w:val="32"/>
          <w:highlight w:val="none"/>
          <w:shd w:val="clear" w:color="auto" w:fill="FFFFFF"/>
        </w:rPr>
      </w:pPr>
    </w:p>
    <w:p>
      <w:pPr>
        <w:pStyle w:val="14"/>
        <w:autoSpaceDE w:val="0"/>
        <w:spacing w:before="0" w:beforeAutospacing="0" w:line="600" w:lineRule="exact"/>
        <w:rPr>
          <w:rFonts w:hint="eastAsia" w:ascii="方正仿宋_GBK" w:hAnsi="方正仿宋_GBK" w:eastAsia="方正仿宋_GBK" w:cs="方正仿宋_GBK"/>
          <w:sz w:val="28"/>
          <w:szCs w:val="28"/>
          <w:shd w:val="clear" w:color="auto" w:fill="FFFFFF"/>
        </w:rPr>
      </w:pPr>
    </w:p>
    <w:p>
      <w:pPr>
        <w:pStyle w:val="14"/>
        <w:autoSpaceDE w:val="0"/>
        <w:spacing w:before="0" w:beforeAutospacing="0" w:line="600" w:lineRule="exact"/>
        <w:rPr>
          <w:rFonts w:hint="eastAsia" w:ascii="方正仿宋_GBK" w:hAnsi="方正仿宋_GBK" w:eastAsia="方正仿宋_GBK" w:cs="方正仿宋_GBK"/>
          <w:sz w:val="28"/>
          <w:szCs w:val="28"/>
          <w:shd w:val="clear" w:color="auto" w:fill="FFFFFF"/>
        </w:rPr>
      </w:pPr>
    </w:p>
    <w:p>
      <w:pPr>
        <w:pStyle w:val="14"/>
        <w:keepNext w:val="0"/>
        <w:keepLines w:val="0"/>
        <w:pageBreakBefore w:val="0"/>
        <w:widowControl/>
        <w:kinsoku/>
        <w:wordWrap/>
        <w:overflowPunct/>
        <w:topLinePunct w:val="0"/>
        <w:autoSpaceDE w:val="0"/>
        <w:autoSpaceDN/>
        <w:bidi w:val="0"/>
        <w:adjustRightInd/>
        <w:snapToGrid/>
        <w:spacing w:before="0" w:beforeAutospacing="0" w:line="240" w:lineRule="auto"/>
        <w:jc w:val="center"/>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28"/>
          <w:szCs w:val="28"/>
          <w:shd w:val="clear" w:color="auto" w:fill="FFFFFF"/>
        </w:rPr>
        <w:t>部门整体绩效自评表</w:t>
      </w:r>
      <w:r>
        <w:rPr>
          <w:rFonts w:hint="eastAsia" w:ascii="方正仿宋_GBK" w:hAnsi="方正仿宋_GBK" w:eastAsia="方正仿宋_GBK" w:cs="方正仿宋_GBK"/>
          <w:sz w:val="28"/>
          <w:szCs w:val="28"/>
          <w:shd w:val="clear" w:color="auto" w:fill="FFFFFF"/>
          <w:lang w:eastAsia="zh-CN"/>
        </w:rPr>
        <w:t>（</w:t>
      </w:r>
      <w:r>
        <w:rPr>
          <w:rFonts w:hint="eastAsia" w:ascii="方正仿宋_GBK" w:hAnsi="方正仿宋_GBK" w:eastAsia="方正仿宋_GBK" w:cs="方正仿宋_GBK"/>
          <w:sz w:val="28"/>
          <w:szCs w:val="28"/>
          <w:shd w:val="clear" w:color="auto" w:fill="FFFFFF"/>
          <w:lang w:val="en-US" w:eastAsia="zh-CN"/>
        </w:rPr>
        <w:t>见下图）</w:t>
      </w:r>
      <w:r>
        <w:rPr>
          <w:rFonts w:hint="eastAsia" w:ascii="方正仿宋_GBK" w:hAnsi="方正仿宋_GBK" w:eastAsia="方正仿宋_GBK" w:cs="方正仿宋_GBK"/>
          <w:sz w:val="32"/>
          <w:szCs w:val="32"/>
          <w:shd w:val="clear" w:color="auto" w:fill="FFFFFF"/>
        </w:rPr>
        <w:drawing>
          <wp:inline distT="0" distB="0" distL="114300" distR="114300">
            <wp:extent cx="5633720" cy="6118225"/>
            <wp:effectExtent l="0" t="0" r="5080" b="1587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633720" cy="6118225"/>
                    </a:xfrm>
                    <a:prstGeom prst="rect">
                      <a:avLst/>
                    </a:prstGeom>
                  </pic:spPr>
                </pic:pic>
              </a:graphicData>
            </a:graphic>
          </wp:inline>
        </w:drawing>
      </w:r>
    </w:p>
    <w:p>
      <w:pPr>
        <w:pStyle w:val="14"/>
        <w:spacing w:before="0" w:beforeAutospacing="0"/>
        <w:jc w:val="center"/>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项目支出绩效自评表（</w:t>
      </w:r>
      <w:r>
        <w:rPr>
          <w:rFonts w:hint="eastAsia" w:ascii="方正仿宋_GBK" w:hAnsi="方正仿宋_GBK" w:eastAsia="方正仿宋_GBK" w:cs="方正仿宋_GBK"/>
          <w:sz w:val="28"/>
          <w:szCs w:val="28"/>
          <w:shd w:val="clear" w:color="auto" w:fill="FFFFFF"/>
          <w:lang w:val="en-US" w:eastAsia="zh-CN"/>
        </w:rPr>
        <w:t>二</w:t>
      </w:r>
      <w:r>
        <w:rPr>
          <w:rFonts w:hint="eastAsia" w:ascii="方正仿宋_GBK" w:hAnsi="方正仿宋_GBK" w:eastAsia="方正仿宋_GBK" w:cs="方正仿宋_GBK"/>
          <w:sz w:val="28"/>
          <w:szCs w:val="28"/>
          <w:shd w:val="clear" w:color="auto" w:fill="FFFFFF"/>
        </w:rPr>
        <w:t>级项目</w:t>
      </w:r>
      <w:r>
        <w:rPr>
          <w:rFonts w:hint="eastAsia" w:ascii="方正仿宋_GBK" w:hAnsi="方正仿宋_GBK" w:eastAsia="方正仿宋_GBK" w:cs="方正仿宋_GBK"/>
          <w:sz w:val="28"/>
          <w:szCs w:val="28"/>
          <w:shd w:val="clear" w:color="auto" w:fill="FFFFFF"/>
          <w:lang w:eastAsia="zh-CN"/>
        </w:rPr>
        <w:t>）</w:t>
      </w:r>
      <w:r>
        <w:rPr>
          <w:rFonts w:hint="eastAsia" w:ascii="方正仿宋_GBK" w:hAnsi="方正仿宋_GBK" w:eastAsia="方正仿宋_GBK" w:cs="方正仿宋_GBK"/>
          <w:sz w:val="28"/>
          <w:szCs w:val="28"/>
          <w:shd w:val="clear" w:color="auto" w:fill="FFFFFF"/>
        </w:rPr>
        <w:drawing>
          <wp:inline distT="0" distB="0" distL="114300" distR="114300">
            <wp:extent cx="5638800" cy="4304665"/>
            <wp:effectExtent l="0" t="0" r="0" b="635"/>
            <wp:docPr id="7"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2"/>
                    <pic:cNvPicPr>
                      <a:picLocks noChangeAspect="1"/>
                    </pic:cNvPicPr>
                  </pic:nvPicPr>
                  <pic:blipFill>
                    <a:blip r:embed="rId8"/>
                    <a:stretch>
                      <a:fillRect/>
                    </a:stretch>
                  </pic:blipFill>
                  <pic:spPr>
                    <a:xfrm>
                      <a:off x="0" y="0"/>
                      <a:ext cx="5638800" cy="4304665"/>
                    </a:xfrm>
                    <a:prstGeom prst="rect">
                      <a:avLst/>
                    </a:prstGeom>
                  </pic:spPr>
                </pic:pic>
              </a:graphicData>
            </a:graphic>
          </wp:inline>
        </w:drawing>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（二）部门绩效评价情况</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我部门未组织开展绩效评价。</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（三）财政绩效评价情况</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lang w:val="en-US" w:eastAsia="zh-CN"/>
        </w:rPr>
        <w:t>县</w:t>
      </w:r>
      <w:r>
        <w:rPr>
          <w:rFonts w:hint="eastAsia" w:ascii="方正仿宋_GBK" w:hAnsi="方正仿宋_GBK" w:eastAsia="方正仿宋_GBK" w:cs="方正仿宋_GBK"/>
          <w:b w:val="0"/>
          <w:bCs w:val="0"/>
          <w:sz w:val="32"/>
          <w:szCs w:val="32"/>
          <w:shd w:val="clear" w:color="auto" w:fill="FFFFFF"/>
        </w:rPr>
        <w:t>财政局未委托第三方对我部门开展绩效评价。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lang w:val="en-US" w:eastAsia="zh-CN"/>
        </w:rPr>
      </w:pPr>
      <w:r>
        <w:rPr>
          <w:rStyle w:val="12"/>
          <w:rFonts w:hint="eastAsia" w:ascii="方正黑体_GBK" w:hAnsi="方正黑体_GBK" w:eastAsia="方正黑体_GBK" w:cs="方正黑体_GBK"/>
          <w:b w:val="0"/>
          <w:bCs/>
          <w:sz w:val="32"/>
          <w:szCs w:val="32"/>
          <w:shd w:val="clear" w:color="auto" w:fill="FFFFFF"/>
          <w:lang w:val="en-US" w:eastAsia="zh-CN"/>
        </w:rPr>
        <w:t>六、专业名词解释</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（二）事业收入：</w:t>
      </w:r>
      <w:r>
        <w:rPr>
          <w:rFonts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（三）经营收入：</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（四）其他收入：</w:t>
      </w:r>
      <w:r>
        <w:rPr>
          <w:rFonts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ascii="方正仿宋_GBK" w:hAnsi="方正仿宋_GBK"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（七）结余分配：</w:t>
      </w:r>
      <w:r>
        <w:rPr>
          <w:rFonts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（九）基本支出：</w:t>
      </w:r>
      <w:r>
        <w:rPr>
          <w:rFonts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（十）项目支出：</w:t>
      </w:r>
      <w:r>
        <w:rPr>
          <w:rFonts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（十一）经营支出：</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（十二）“三公”经费：</w:t>
      </w:r>
      <w:r>
        <w:rPr>
          <w:rFonts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b w:val="0"/>
          <w:bCs w:val="0"/>
          <w:sz w:val="32"/>
          <w:szCs w:val="32"/>
          <w:shd w:val="clear" w:color="auto" w:fill="FFFFFF"/>
        </w:rPr>
        <w:t>反映用于对个人和家庭的补助支出。</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lang w:val="en-US" w:eastAsia="zh-CN"/>
        </w:rPr>
      </w:pPr>
      <w:r>
        <w:rPr>
          <w:rStyle w:val="12"/>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本单位决算公开信息反馈和联系方式：</w:t>
      </w:r>
      <w:r>
        <w:rPr>
          <w:rFonts w:ascii="方正仿宋_GBK" w:hAnsi="方正仿宋_GBK" w:eastAsia="方正仿宋_GBK" w:cs="方正仿宋_GBK"/>
          <w:b w:val="0"/>
          <w:bCs w:val="0"/>
          <w:color w:val="auto"/>
          <w:sz w:val="32"/>
          <w:szCs w:val="32"/>
          <w:shd w:val="clear" w:color="auto" w:fill="FFFFFF"/>
        </w:rPr>
        <w:t>023-</w:t>
      </w:r>
      <w:r>
        <w:rPr>
          <w:rFonts w:hint="eastAsia" w:ascii="方正仿宋_GBK" w:hAnsi="方正仿宋_GBK" w:eastAsia="方正仿宋_GBK" w:cs="方正仿宋_GBK"/>
          <w:b w:val="0"/>
          <w:bCs w:val="0"/>
          <w:color w:val="auto"/>
          <w:sz w:val="32"/>
          <w:szCs w:val="32"/>
          <w:shd w:val="clear" w:color="auto" w:fill="FFFFFF"/>
          <w:lang w:val="en-US" w:eastAsia="zh-CN"/>
        </w:rPr>
        <w:t>51520334</w:t>
      </w:r>
      <w:r>
        <w:rPr>
          <w:rFonts w:ascii="方正仿宋_GBK" w:hAnsi="方正仿宋_GBK" w:eastAsia="方正仿宋_GBK" w:cs="方正仿宋_GBK"/>
          <w:b w:val="0"/>
          <w:bCs w:val="0"/>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0" w:firstLineChars="0"/>
        <w:textAlignment w:val="auto"/>
        <w:rPr>
          <w:rStyle w:val="12"/>
          <w:rFonts w:ascii="方正仿宋_GBK" w:hAnsi="方正仿宋_GBK" w:eastAsia="方正仿宋_GBK" w:cs="方正仿宋_GBK"/>
          <w:b w:val="0"/>
          <w:bCs w:val="0"/>
          <w:sz w:val="32"/>
          <w:szCs w:val="32"/>
          <w:shd w:val="clear" w:color="auto" w:fill="FFFF00"/>
        </w:rPr>
        <w:sectPr>
          <w:footerReference r:id="rId3" w:type="default"/>
          <w:pgSz w:w="11915" w:h="16840"/>
          <w:pgMar w:top="1440" w:right="1235"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5005" w:type="pct"/>
        <w:jc w:val="center"/>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jc w:val="center"/>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jc w:val="center"/>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重庆市巫溪县城市管理局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jc w:val="center"/>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8,107.96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201.91</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59.96</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157.00</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7,251.37</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486.21</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81.51</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8,237.96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8,237.96</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8,237.96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8,237.96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jc w:val="center"/>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重庆市巫溪县城市管理局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jc w:val="center"/>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jc w:val="center"/>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jc w:val="center"/>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8,237.96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8,237.96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7,251.37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7,251.37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1,316.32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1,316.32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2,012.32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2,012.32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3,067.72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3,067.72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3,067.72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3,067.72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486.21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486.21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jc w:val="center"/>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tblPrEx>
          <w:tblCellMar>
            <w:top w:w="0" w:type="dxa"/>
            <w:left w:w="0" w:type="dxa"/>
            <w:bottom w:w="0" w:type="dxa"/>
            <w:right w:w="0" w:type="dxa"/>
          </w:tblCellMar>
        </w:tblPrEx>
        <w:trPr>
          <w:trHeight w:val="65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jc w:val="center"/>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重庆市巫溪县城市管理局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jc w:val="center"/>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jc w:val="center"/>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jc w:val="center"/>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jc w:val="center"/>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8,237.96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1,694.75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6,543.21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7,251.37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1,351.37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1,316.32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2,012.32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3,067.72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517.72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3,067.72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486.21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486.21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356.21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4790" w:type="pct"/>
        <w:jc w:val="center"/>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重庆市巫溪县城市管理局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jc w:val="center"/>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jc w:val="center"/>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jc w:val="center"/>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8,107.96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7,251.37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7,251.37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486.21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356.21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8,237.96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8,237.96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8,107.96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8,237.96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8,237.96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8,107.96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jc w:val="center"/>
        <w:tblLayout w:type="autofit"/>
        <w:tblCellMar>
          <w:top w:w="0" w:type="dxa"/>
          <w:left w:w="0" w:type="dxa"/>
          <w:bottom w:w="0" w:type="dxa"/>
          <w:right w:w="0" w:type="dxa"/>
        </w:tblCellMar>
      </w:tblPr>
      <w:tblGrid>
        <w:gridCol w:w="1827"/>
        <w:gridCol w:w="3630"/>
        <w:gridCol w:w="3283"/>
        <w:gridCol w:w="3283"/>
        <w:gridCol w:w="3299"/>
      </w:tblGrid>
      <w:tr>
        <w:tblPrEx>
          <w:tblCellMar>
            <w:top w:w="0" w:type="dxa"/>
            <w:left w:w="0" w:type="dxa"/>
            <w:bottom w:w="0" w:type="dxa"/>
            <w:right w:w="0" w:type="dxa"/>
          </w:tblCellMar>
        </w:tblPrEx>
        <w:trPr>
          <w:trHeight w:val="51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重庆市巫溪县城市管理局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jc w:val="center"/>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jc w:val="center"/>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jc w:val="center"/>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jc w:val="center"/>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jc w:val="center"/>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jc w:val="center"/>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8,107.96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1,694.75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6,413.21</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157.00</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157.00</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157.00</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7,251.37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1,351.37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5,900.00</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2,171.33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771.33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1,400.00</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354.83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354.83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1,316.32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416.32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900.00</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500.00</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2,012.32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1,950.00</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2,012.32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1,950.00</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3,067.72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517.72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2,550.00</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3,067.72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517.72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2,550.00</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356.21</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356.21</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349.92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349.92</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6.29</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81.51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jc w:val="center"/>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jc w:val="center"/>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重庆市巫溪县城市管理局</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jc w:val="center"/>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jc w:val="center"/>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jc w:val="center"/>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1,513.17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10.50</w:t>
            </w: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10.50</w:t>
            </w: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591.16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1,550.51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144.24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jc w:val="center"/>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jc w:val="center"/>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重庆市巫溪县城市管理局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jc w:val="center"/>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jc w:val="center"/>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jc w:val="center"/>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重庆市巫溪县城市管理局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jc w:val="center"/>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jc w:val="center"/>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4850" w:type="pct"/>
        <w:jc w:val="center"/>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jc w:val="center"/>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jc w:val="center"/>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重庆市巫溪县城市管理局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89.34</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19.80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48.28</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41.07</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56</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11.80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53</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175.35</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175.35</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1,493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175.35</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175.35</w:t>
            </w:r>
            <w:r>
              <w:rPr>
                <w:color w:val="000000"/>
                <w:sz w:val="16"/>
                <w:u w:color="auto"/>
              </w:rPr>
              <w:t xml:space="preserve"> </w:t>
            </w:r>
          </w:p>
        </w:tc>
      </w:tr>
      <w:tr>
        <w:tblPrEx>
          <w:tblCellMar>
            <w:top w:w="0" w:type="dxa"/>
            <w:left w:w="170" w:type="dxa"/>
            <w:bottom w:w="0" w:type="dxa"/>
            <w:right w:w="170" w:type="dxa"/>
          </w:tblCellMar>
        </w:tblPrEx>
        <w:trPr>
          <w:trHeight w:val="286"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B03CCD"/>
    <w:rsid w:val="000C01CC"/>
    <w:rsid w:val="000D7702"/>
    <w:rsid w:val="002D0E5A"/>
    <w:rsid w:val="002E0531"/>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236AEC"/>
    <w:rsid w:val="01474EBF"/>
    <w:rsid w:val="01F3521E"/>
    <w:rsid w:val="026011EE"/>
    <w:rsid w:val="0293640C"/>
    <w:rsid w:val="03A43A36"/>
    <w:rsid w:val="03B42FE8"/>
    <w:rsid w:val="03B73910"/>
    <w:rsid w:val="03B87EA0"/>
    <w:rsid w:val="03E3214F"/>
    <w:rsid w:val="044C50BA"/>
    <w:rsid w:val="05053A8A"/>
    <w:rsid w:val="05345867"/>
    <w:rsid w:val="057E5007"/>
    <w:rsid w:val="05BC6D49"/>
    <w:rsid w:val="06194FF1"/>
    <w:rsid w:val="061D7078"/>
    <w:rsid w:val="06A2550B"/>
    <w:rsid w:val="06E14629"/>
    <w:rsid w:val="06F80EE2"/>
    <w:rsid w:val="07001CCA"/>
    <w:rsid w:val="07167FA1"/>
    <w:rsid w:val="07504DDD"/>
    <w:rsid w:val="075678DB"/>
    <w:rsid w:val="079D7CC7"/>
    <w:rsid w:val="08051BCA"/>
    <w:rsid w:val="081E10F8"/>
    <w:rsid w:val="086C12F4"/>
    <w:rsid w:val="087C6966"/>
    <w:rsid w:val="08BA052C"/>
    <w:rsid w:val="08DB07BA"/>
    <w:rsid w:val="09162669"/>
    <w:rsid w:val="0969353F"/>
    <w:rsid w:val="098305D0"/>
    <w:rsid w:val="098A0877"/>
    <w:rsid w:val="0A5C4B69"/>
    <w:rsid w:val="0A86124A"/>
    <w:rsid w:val="0AB54CC0"/>
    <w:rsid w:val="0AD245C4"/>
    <w:rsid w:val="0B9335CE"/>
    <w:rsid w:val="0BA8447F"/>
    <w:rsid w:val="0BCF552C"/>
    <w:rsid w:val="0C4F1955"/>
    <w:rsid w:val="0C7927C4"/>
    <w:rsid w:val="0C9B098C"/>
    <w:rsid w:val="0CB349A1"/>
    <w:rsid w:val="0CD52A80"/>
    <w:rsid w:val="0D673E11"/>
    <w:rsid w:val="0D780AA2"/>
    <w:rsid w:val="0DDA54E4"/>
    <w:rsid w:val="0E3A5F83"/>
    <w:rsid w:val="0E74421A"/>
    <w:rsid w:val="0E9942F4"/>
    <w:rsid w:val="0F6C1E32"/>
    <w:rsid w:val="0F836721"/>
    <w:rsid w:val="0FA25D96"/>
    <w:rsid w:val="107B59E5"/>
    <w:rsid w:val="10EC0126"/>
    <w:rsid w:val="10F70B9A"/>
    <w:rsid w:val="111445C7"/>
    <w:rsid w:val="113A2DBB"/>
    <w:rsid w:val="114278C6"/>
    <w:rsid w:val="1158083A"/>
    <w:rsid w:val="11643A4B"/>
    <w:rsid w:val="11A14A88"/>
    <w:rsid w:val="11A26659"/>
    <w:rsid w:val="11ED0F98"/>
    <w:rsid w:val="11F03528"/>
    <w:rsid w:val="12A17BC8"/>
    <w:rsid w:val="12C921C4"/>
    <w:rsid w:val="130678B9"/>
    <w:rsid w:val="13871C70"/>
    <w:rsid w:val="13A71CB4"/>
    <w:rsid w:val="13AF1D43"/>
    <w:rsid w:val="13B04A61"/>
    <w:rsid w:val="13CE1647"/>
    <w:rsid w:val="13FD55AB"/>
    <w:rsid w:val="14200702"/>
    <w:rsid w:val="14BA5CD8"/>
    <w:rsid w:val="163A6CEE"/>
    <w:rsid w:val="173708E3"/>
    <w:rsid w:val="17C374FC"/>
    <w:rsid w:val="17CE122A"/>
    <w:rsid w:val="189079DC"/>
    <w:rsid w:val="18954621"/>
    <w:rsid w:val="189B0D0B"/>
    <w:rsid w:val="189C2859"/>
    <w:rsid w:val="18B43F7C"/>
    <w:rsid w:val="194A1770"/>
    <w:rsid w:val="19B906A4"/>
    <w:rsid w:val="1AF170E5"/>
    <w:rsid w:val="1B313B17"/>
    <w:rsid w:val="1B6F15B6"/>
    <w:rsid w:val="1BAA2EDC"/>
    <w:rsid w:val="1C5C0973"/>
    <w:rsid w:val="1CA55E64"/>
    <w:rsid w:val="1D014A01"/>
    <w:rsid w:val="1D022362"/>
    <w:rsid w:val="1D1B04B0"/>
    <w:rsid w:val="1DAC472D"/>
    <w:rsid w:val="1DBD6767"/>
    <w:rsid w:val="1DC52125"/>
    <w:rsid w:val="1DD26311"/>
    <w:rsid w:val="1DF555EC"/>
    <w:rsid w:val="1E374ACB"/>
    <w:rsid w:val="1E5E27E3"/>
    <w:rsid w:val="1ECF0A66"/>
    <w:rsid w:val="1EF67CA4"/>
    <w:rsid w:val="1F020D3A"/>
    <w:rsid w:val="1F2C5189"/>
    <w:rsid w:val="1F4B0B02"/>
    <w:rsid w:val="1FBB35CD"/>
    <w:rsid w:val="1FCD26AF"/>
    <w:rsid w:val="1FF7056D"/>
    <w:rsid w:val="20642787"/>
    <w:rsid w:val="207C5799"/>
    <w:rsid w:val="20E93F12"/>
    <w:rsid w:val="21556F04"/>
    <w:rsid w:val="22403BD3"/>
    <w:rsid w:val="235E725D"/>
    <w:rsid w:val="238A31D1"/>
    <w:rsid w:val="23DA37D9"/>
    <w:rsid w:val="24B92327"/>
    <w:rsid w:val="24C14514"/>
    <w:rsid w:val="24E462F1"/>
    <w:rsid w:val="2533755C"/>
    <w:rsid w:val="25791755"/>
    <w:rsid w:val="25E621E5"/>
    <w:rsid w:val="26396DF4"/>
    <w:rsid w:val="26B6279C"/>
    <w:rsid w:val="26BA739D"/>
    <w:rsid w:val="27167136"/>
    <w:rsid w:val="275E117C"/>
    <w:rsid w:val="27B23302"/>
    <w:rsid w:val="28226FAA"/>
    <w:rsid w:val="29310A5F"/>
    <w:rsid w:val="29C37A35"/>
    <w:rsid w:val="2A076083"/>
    <w:rsid w:val="2A40021F"/>
    <w:rsid w:val="2A73162E"/>
    <w:rsid w:val="2B167953"/>
    <w:rsid w:val="2B200583"/>
    <w:rsid w:val="2B8209DE"/>
    <w:rsid w:val="2C6762A3"/>
    <w:rsid w:val="2D063B9D"/>
    <w:rsid w:val="2E623AFC"/>
    <w:rsid w:val="2E625413"/>
    <w:rsid w:val="2EBF7B3E"/>
    <w:rsid w:val="2EDE1934"/>
    <w:rsid w:val="2FCA4B37"/>
    <w:rsid w:val="2FCB5523"/>
    <w:rsid w:val="2FE029D7"/>
    <w:rsid w:val="2FF06E00"/>
    <w:rsid w:val="303174CA"/>
    <w:rsid w:val="30562E26"/>
    <w:rsid w:val="30586FEC"/>
    <w:rsid w:val="30EC7046"/>
    <w:rsid w:val="315F0B22"/>
    <w:rsid w:val="319D022C"/>
    <w:rsid w:val="31C90022"/>
    <w:rsid w:val="31D84415"/>
    <w:rsid w:val="32285F6F"/>
    <w:rsid w:val="32770556"/>
    <w:rsid w:val="329C0913"/>
    <w:rsid w:val="32AA0460"/>
    <w:rsid w:val="332B2438"/>
    <w:rsid w:val="3337290D"/>
    <w:rsid w:val="33E31118"/>
    <w:rsid w:val="33EF7674"/>
    <w:rsid w:val="342D7BC6"/>
    <w:rsid w:val="34324BDF"/>
    <w:rsid w:val="34557A4C"/>
    <w:rsid w:val="351C3011"/>
    <w:rsid w:val="352930DB"/>
    <w:rsid w:val="35573069"/>
    <w:rsid w:val="355F6038"/>
    <w:rsid w:val="358C217E"/>
    <w:rsid w:val="35937598"/>
    <w:rsid w:val="36775B41"/>
    <w:rsid w:val="36C9128A"/>
    <w:rsid w:val="372E3953"/>
    <w:rsid w:val="37841E99"/>
    <w:rsid w:val="37BF1123"/>
    <w:rsid w:val="38000759"/>
    <w:rsid w:val="381505F0"/>
    <w:rsid w:val="383B36B2"/>
    <w:rsid w:val="383C3F15"/>
    <w:rsid w:val="38BE4696"/>
    <w:rsid w:val="3939115E"/>
    <w:rsid w:val="39B82A39"/>
    <w:rsid w:val="39C42CA8"/>
    <w:rsid w:val="39DC4FD6"/>
    <w:rsid w:val="39F03D7A"/>
    <w:rsid w:val="39F33306"/>
    <w:rsid w:val="3A2C1C67"/>
    <w:rsid w:val="3B1705E5"/>
    <w:rsid w:val="3B18334B"/>
    <w:rsid w:val="3B276FB3"/>
    <w:rsid w:val="3B36794F"/>
    <w:rsid w:val="3C566AD6"/>
    <w:rsid w:val="3C6A5B02"/>
    <w:rsid w:val="3CE8136C"/>
    <w:rsid w:val="3D2757A1"/>
    <w:rsid w:val="3D3D4FC4"/>
    <w:rsid w:val="3DDF3AB1"/>
    <w:rsid w:val="3E1D0952"/>
    <w:rsid w:val="3E42660A"/>
    <w:rsid w:val="3E7555B1"/>
    <w:rsid w:val="3E787ED9"/>
    <w:rsid w:val="3EEC37F3"/>
    <w:rsid w:val="3F032E93"/>
    <w:rsid w:val="3F0527E5"/>
    <w:rsid w:val="3F145B6F"/>
    <w:rsid w:val="3F694D83"/>
    <w:rsid w:val="3F885DCC"/>
    <w:rsid w:val="3FCD675E"/>
    <w:rsid w:val="3FFD0909"/>
    <w:rsid w:val="4004000C"/>
    <w:rsid w:val="411B6CE5"/>
    <w:rsid w:val="412070D7"/>
    <w:rsid w:val="41314E40"/>
    <w:rsid w:val="41E0734B"/>
    <w:rsid w:val="426554D0"/>
    <w:rsid w:val="426C1EA8"/>
    <w:rsid w:val="42736402"/>
    <w:rsid w:val="42E50421"/>
    <w:rsid w:val="42E86A87"/>
    <w:rsid w:val="43307B09"/>
    <w:rsid w:val="438D0E97"/>
    <w:rsid w:val="43BB152F"/>
    <w:rsid w:val="4458514D"/>
    <w:rsid w:val="44C37687"/>
    <w:rsid w:val="45CB699A"/>
    <w:rsid w:val="465B470D"/>
    <w:rsid w:val="469D6AD4"/>
    <w:rsid w:val="471E6C84"/>
    <w:rsid w:val="4748792B"/>
    <w:rsid w:val="475D719D"/>
    <w:rsid w:val="47674801"/>
    <w:rsid w:val="47886D18"/>
    <w:rsid w:val="47C04C82"/>
    <w:rsid w:val="47EA296A"/>
    <w:rsid w:val="48225EF7"/>
    <w:rsid w:val="482D6A0C"/>
    <w:rsid w:val="488F422B"/>
    <w:rsid w:val="48E36915"/>
    <w:rsid w:val="495C4A24"/>
    <w:rsid w:val="497135DF"/>
    <w:rsid w:val="49F00E0A"/>
    <w:rsid w:val="4A263DF2"/>
    <w:rsid w:val="4A6F6675"/>
    <w:rsid w:val="4B0502DF"/>
    <w:rsid w:val="4B135857"/>
    <w:rsid w:val="4B7951CB"/>
    <w:rsid w:val="4B7C315C"/>
    <w:rsid w:val="4D4A58C7"/>
    <w:rsid w:val="4DAC4ACA"/>
    <w:rsid w:val="4DBE01D2"/>
    <w:rsid w:val="4EFC6D10"/>
    <w:rsid w:val="4F0C6BA3"/>
    <w:rsid w:val="4F10477D"/>
    <w:rsid w:val="4F186D58"/>
    <w:rsid w:val="4F6D45E6"/>
    <w:rsid w:val="4FEA65B7"/>
    <w:rsid w:val="4FF4261A"/>
    <w:rsid w:val="50F06B6E"/>
    <w:rsid w:val="515C17EA"/>
    <w:rsid w:val="518A2FBB"/>
    <w:rsid w:val="52234D33"/>
    <w:rsid w:val="522F6E0C"/>
    <w:rsid w:val="52463BA1"/>
    <w:rsid w:val="52DF1604"/>
    <w:rsid w:val="52F163D4"/>
    <w:rsid w:val="531338B1"/>
    <w:rsid w:val="531A2DB4"/>
    <w:rsid w:val="53362069"/>
    <w:rsid w:val="53C0244D"/>
    <w:rsid w:val="53DD4D4E"/>
    <w:rsid w:val="53E578CE"/>
    <w:rsid w:val="54046D05"/>
    <w:rsid w:val="541330F0"/>
    <w:rsid w:val="54272666"/>
    <w:rsid w:val="543B029D"/>
    <w:rsid w:val="546D1BBC"/>
    <w:rsid w:val="54861779"/>
    <w:rsid w:val="54D02A45"/>
    <w:rsid w:val="54FD2E5E"/>
    <w:rsid w:val="552256E1"/>
    <w:rsid w:val="554E5773"/>
    <w:rsid w:val="55547156"/>
    <w:rsid w:val="555A3CBC"/>
    <w:rsid w:val="5582012B"/>
    <w:rsid w:val="558E4E05"/>
    <w:rsid w:val="55BE2E85"/>
    <w:rsid w:val="55D43C74"/>
    <w:rsid w:val="56530F5D"/>
    <w:rsid w:val="567700D3"/>
    <w:rsid w:val="56C05C4F"/>
    <w:rsid w:val="56FF7E9E"/>
    <w:rsid w:val="578867FC"/>
    <w:rsid w:val="5842572D"/>
    <w:rsid w:val="5A3B59D6"/>
    <w:rsid w:val="5AD134D8"/>
    <w:rsid w:val="5B590317"/>
    <w:rsid w:val="5B6503B1"/>
    <w:rsid w:val="5C263CE4"/>
    <w:rsid w:val="5C2E407F"/>
    <w:rsid w:val="5C5D2777"/>
    <w:rsid w:val="5CB95508"/>
    <w:rsid w:val="5CE01532"/>
    <w:rsid w:val="5CF66BF3"/>
    <w:rsid w:val="5D290C69"/>
    <w:rsid w:val="5E3C7D85"/>
    <w:rsid w:val="5F2D4A41"/>
    <w:rsid w:val="5FB42869"/>
    <w:rsid w:val="60C74F6C"/>
    <w:rsid w:val="61025A59"/>
    <w:rsid w:val="613D5BBC"/>
    <w:rsid w:val="61536C39"/>
    <w:rsid w:val="623D5E69"/>
    <w:rsid w:val="62944DD7"/>
    <w:rsid w:val="6319381F"/>
    <w:rsid w:val="63236436"/>
    <w:rsid w:val="63C25DC5"/>
    <w:rsid w:val="63C62057"/>
    <w:rsid w:val="63F77639"/>
    <w:rsid w:val="64532A6B"/>
    <w:rsid w:val="64571EF5"/>
    <w:rsid w:val="64FB113D"/>
    <w:rsid w:val="654A7030"/>
    <w:rsid w:val="656152C6"/>
    <w:rsid w:val="6587477F"/>
    <w:rsid w:val="658C3A08"/>
    <w:rsid w:val="65C031CA"/>
    <w:rsid w:val="65CE6852"/>
    <w:rsid w:val="66267C04"/>
    <w:rsid w:val="663F505A"/>
    <w:rsid w:val="66967186"/>
    <w:rsid w:val="66C85CBF"/>
    <w:rsid w:val="66EE5541"/>
    <w:rsid w:val="67924660"/>
    <w:rsid w:val="68407834"/>
    <w:rsid w:val="6883293E"/>
    <w:rsid w:val="688412AD"/>
    <w:rsid w:val="68C47BB0"/>
    <w:rsid w:val="68EB1B71"/>
    <w:rsid w:val="69475C96"/>
    <w:rsid w:val="6A000DCD"/>
    <w:rsid w:val="6A0C190A"/>
    <w:rsid w:val="6AAD2300"/>
    <w:rsid w:val="6B474EF5"/>
    <w:rsid w:val="6BBF53FD"/>
    <w:rsid w:val="6BF854BB"/>
    <w:rsid w:val="6C33656D"/>
    <w:rsid w:val="6C560CAE"/>
    <w:rsid w:val="6C576495"/>
    <w:rsid w:val="6D4254DB"/>
    <w:rsid w:val="6D903FF5"/>
    <w:rsid w:val="6DA955B8"/>
    <w:rsid w:val="6DE346AB"/>
    <w:rsid w:val="6DE5391A"/>
    <w:rsid w:val="6ECC5D8C"/>
    <w:rsid w:val="6EFD1324"/>
    <w:rsid w:val="6F5A53AC"/>
    <w:rsid w:val="6FAC003D"/>
    <w:rsid w:val="6FDF537A"/>
    <w:rsid w:val="6FE55E12"/>
    <w:rsid w:val="6FFB2E76"/>
    <w:rsid w:val="70335B2F"/>
    <w:rsid w:val="708F6F7F"/>
    <w:rsid w:val="70D94BD3"/>
    <w:rsid w:val="71821B02"/>
    <w:rsid w:val="71C34D91"/>
    <w:rsid w:val="71F519D5"/>
    <w:rsid w:val="72DB435C"/>
    <w:rsid w:val="72E2613A"/>
    <w:rsid w:val="72F771F4"/>
    <w:rsid w:val="7335234A"/>
    <w:rsid w:val="736650B0"/>
    <w:rsid w:val="73934AD2"/>
    <w:rsid w:val="750837F0"/>
    <w:rsid w:val="754758CF"/>
    <w:rsid w:val="764F62AB"/>
    <w:rsid w:val="765C45EC"/>
    <w:rsid w:val="768A7619"/>
    <w:rsid w:val="76B24B0C"/>
    <w:rsid w:val="772E1EBA"/>
    <w:rsid w:val="77EB79F7"/>
    <w:rsid w:val="78A36705"/>
    <w:rsid w:val="796D60A4"/>
    <w:rsid w:val="79A031D5"/>
    <w:rsid w:val="7A1525F7"/>
    <w:rsid w:val="7B420052"/>
    <w:rsid w:val="7B861484"/>
    <w:rsid w:val="7BBE5862"/>
    <w:rsid w:val="7BD06A28"/>
    <w:rsid w:val="7C3A7C0B"/>
    <w:rsid w:val="7C5248E4"/>
    <w:rsid w:val="7C566698"/>
    <w:rsid w:val="7C5866A3"/>
    <w:rsid w:val="7D7406BB"/>
    <w:rsid w:val="7DE94331"/>
    <w:rsid w:val="7EFA6C8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ind w:left="1680" w:leftChars="8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21</TotalTime>
  <ScaleCrop>false</ScaleCrop>
  <LinksUpToDate>false</LinksUpToDate>
  <CharactersWithSpaces>27389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李刚毅</cp:lastModifiedBy>
  <dcterms:modified xsi:type="dcterms:W3CDTF">2024-10-08T03:07:38Z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BB46EABDBB2749749395447164B066B3_12</vt:lpwstr>
  </property>
</Properties>
</file>