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重庆市巫溪县城市管理综合行政执法支队</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_GBK" w:hAnsi="方正小标宋_GBK" w:eastAsia="方正小标宋_GBK" w:cs="方正小标宋_GBK"/>
          <w:sz w:val="44"/>
          <w:szCs w:val="44"/>
        </w:rPr>
        <w:t>2023年度决算公开说明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巫溪县城市管理综合行政执法支队贯彻落实党中央、国务院和市委 、市政府关于城市管理工作的方针政策和决策部署以及县委、县政府的工作部署，在履行职责过程中坚持和加强党对城市管理工作的集中统一领导。主要职责是：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1.贯彻执行有关城市管理行政执法的法律、法规、规章和方针政策，依法接受委托集中行使城市管理综合行政执法范围内的行政执法职能。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2.承担市政公用、市容环卫、城市供水排水、园林绿化等城市管理相关的行政执法职能。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3.承担城区规划城镇建设用地范围内的城市违法建筑执法职责。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4.承担环境保护管理方面城市露天烧烤污染、城市焚烧沥青塑料垃圾等烟尘和城市恶臭污染、露天焚烧秸秆落叶、纸钱等烟尘污染的行政执法职能。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5.承担市场监管方面城市户外公共场所无照经营、违规设置户外广告的行政执法职能，承担城市户外公共场所食品销售和餐饮摊点无证经营的行政执法职能。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6.承担交通管理方面侵占城市道路的行政执法职能。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7.承担水务管理方面向城市河道倾倒废弃物和垃圾的行政执法职能。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8.负责城市管理综合行政执法违法违规案件查处。负责城市管理综合行政执法队伍纠察工作，承办城市管理综合行政执法专项整治行动和重大执法活动。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9.组织推进城市管理综合行政执法信息化建设。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10.完成县委、县政府和县城管局交办的其他任务。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为巫溪县城市管理局所属二级预算单位，单位类型为公益一类事业单位，决算编报类型为单户表，机构规格为正科级，按照政府会计准则制度填报决算数据。单位信息较去年无变化。本单位2023年在编人数为28人（其中参公人员1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事业人员27人），与去年相比，增加参工人员1名、事业人员2人，其原因是单位虽为事业单位，但本单位在编人员刘齐兵在编制纳入本单位之前已是参公人员</w:t>
      </w:r>
      <w:r>
        <w:rPr>
          <w:rFonts w:hint="eastAsia" w:ascii="方正仿宋_GBK" w:hAnsi="方正仿宋_GBK" w:eastAsia="方正仿宋_GBK" w:cs="方正仿宋_GBK"/>
          <w:sz w:val="32"/>
          <w:szCs w:val="32"/>
          <w:lang w:eastAsia="zh-CN"/>
        </w:rPr>
        <w:t>（老人老办法）</w:t>
      </w:r>
      <w:r>
        <w:rPr>
          <w:rFonts w:hint="eastAsia" w:ascii="方正仿宋_GBK" w:hAnsi="方正仿宋_GBK" w:eastAsia="方正仿宋_GBK" w:cs="方正仿宋_GBK"/>
          <w:sz w:val="32"/>
          <w:szCs w:val="32"/>
          <w:lang w:val="en-US" w:eastAsia="zh-CN"/>
        </w:rPr>
        <w:t>，2023年之前</w:t>
      </w:r>
      <w:r>
        <w:rPr>
          <w:rFonts w:hint="eastAsia" w:ascii="方正仿宋_GBK" w:hAnsi="方正仿宋_GBK" w:eastAsia="方正仿宋_GBK" w:cs="方正仿宋_GBK"/>
          <w:sz w:val="32"/>
          <w:szCs w:val="32"/>
          <w:lang w:eastAsia="zh-CN"/>
        </w:rPr>
        <w:t>为便于预决算将</w:t>
      </w:r>
      <w:r>
        <w:rPr>
          <w:rFonts w:hint="eastAsia" w:ascii="方正仿宋_GBK" w:hAnsi="方正仿宋_GBK" w:eastAsia="方正仿宋_GBK" w:cs="方正仿宋_GBK"/>
          <w:sz w:val="32"/>
          <w:szCs w:val="32"/>
          <w:lang w:val="en-US" w:eastAsia="zh-CN"/>
        </w:rPr>
        <w:t>该人员</w:t>
      </w:r>
      <w:r>
        <w:rPr>
          <w:rFonts w:hint="eastAsia" w:ascii="方正仿宋_GBK" w:hAnsi="方正仿宋_GBK" w:eastAsia="方正仿宋_GBK" w:cs="方正仿宋_GBK"/>
          <w:sz w:val="32"/>
          <w:szCs w:val="32"/>
          <w:lang w:eastAsia="zh-CN"/>
        </w:rPr>
        <w:t>核定</w:t>
      </w:r>
      <w:r>
        <w:rPr>
          <w:rFonts w:hint="eastAsia" w:ascii="方正仿宋_GBK" w:hAnsi="方正仿宋_GBK" w:eastAsia="方正仿宋_GBK" w:cs="方正仿宋_GBK"/>
          <w:sz w:val="32"/>
          <w:szCs w:val="32"/>
          <w:lang w:val="en-US" w:eastAsia="zh-CN"/>
        </w:rPr>
        <w:t>在上级机关巫溪县城市管理局，为方便人员管理，2023年将人员预算纳入本单位，故2023年新增1名参公人员。同时事业人员方面，2023年年中本单位调动至其他单位事业人员1人，招考录用新进</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lang w:val="en-US" w:eastAsia="zh-CN"/>
        </w:rPr>
        <w:t>人员3人，故2023年事业人员新增2人。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度收入总计512.89万元，支出总计512.89万元。收支较上年决算数增加176.47万元，增长52.46%，主要原因是增长的主要原因一是2023年较2022年正式人员人数上涨，相应的人员经费及公用经费上涨，二是年中追加了56.93万元超额绩效相关指标及部分正式人员2014年10月至2016年12月职业年金单位部分2.97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lang w:val="en-US" w:eastAsia="zh-CN"/>
        </w:rPr>
        <w:t>2023年度收入合计512.89万元，较上年决算数增加176.47万元，增长52.46%，主要原因与收入支出总体情况增长原因相同。其中：财政拨款收入512.89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lang w:val="en-US" w:eastAsia="zh-CN"/>
        </w:rPr>
        <w:t>2023年度支出合计512.89万元，较上年决算数增加176.47万元，增长52.46%，主要原因与收入支出总体情况增长原因相同。其中：基本支出512.89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2023年度年末结转和结余0.00万元，较上年决算数无增减，主要原因是本单位收支平衡。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2023年度财政拨款收、支总计512.89万元。与2022年相比，财政拨款收、支总计各增加176.47万元，增长52.46%。主要原因与收入支出总体情况增长原因相同。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lang w:val="en-US" w:eastAsia="zh-CN"/>
        </w:rPr>
        <w:t>2023年度一般公共预算财政拨款收入512.89万元，较上年决算数增加176.47万元，增长52.46%。主要原因与收入支出总体情况增长原因相同。较年初预算数增加59.91万元，增长13.23%。主要原因：年中追加了56.93万元超额绩效相关指标及部分正式人员2014年10月至2016年12月职业年金单位部分2.97万元。此外，年初财政拨款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lang w:val="en-US" w:eastAsia="zh-CN"/>
        </w:rPr>
        <w:t>2023年度一般公共预算财政拨款支出512.89万元，较上年决算数增加176.47万元，增长52.46%。主要原因与收入支出总体情况增长原因相同。较年初预算数增加59.91万元，增长13.23%。主要原因是年中追加了56.93万元超额绩效相关指标及部分正式人员2014年10月至2016年12月职业年金单位部分2.97万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2023年度年末一般公共预算财政拨款结转和结余0.00万元，较上年决算数无增减，主要原因是本单位收支平衡。</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 xml:space="preserve"> 4.比较情况。</w:t>
      </w:r>
      <w:r>
        <w:rPr>
          <w:rFonts w:hint="eastAsia" w:ascii="方正仿宋_GBK" w:hAnsi="方正仿宋_GBK" w:eastAsia="方正仿宋_GBK" w:cs="方正仿宋_GBK"/>
          <w:sz w:val="32"/>
          <w:szCs w:val="32"/>
          <w:lang w:val="en-US" w:eastAsia="zh-CN"/>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（1）社会保障与就业支出52.92万元，占10.32%，较年初预算数增加2.97万元，增长5.95%，主要原因：</w:t>
      </w:r>
      <w:bookmarkStart w:id="0" w:name="_GoBack"/>
      <w:bookmarkEnd w:id="0"/>
      <w:r>
        <w:rPr>
          <w:rFonts w:hint="eastAsia" w:ascii="方正仿宋_GBK" w:hAnsi="方正仿宋_GBK" w:eastAsia="方正仿宋_GBK" w:cs="方正仿宋_GBK"/>
          <w:sz w:val="32"/>
          <w:szCs w:val="32"/>
          <w:lang w:val="en-US" w:eastAsia="zh-CN"/>
        </w:rPr>
        <w:t>年底追加部分正式人员2014年10月至2016年12月职业年金单位部分2.97万元。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（2）卫生健康支出19.53万元，占3.81%，较年初预算数无增减，主要原因是本单位按照县委县政府压减开支要求，严格按预算执行相关支出。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（3）城乡社区支出416.32万元，占81.17%，较年初预算数增加56.93万元，增长15.84%，主要原因是年中追加了56.93万元超额绩效相关指标。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（4）住房保障支出24.12万元，占4.70%，较年初预算数无增减，主要原因是本单位按照县委县政府压减开支要求，严格按预算执行相关支出。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2023年度一般公共财政拨款基本支出512.89万元。其中：人员经费471.82万元，较上年决算数增加171.18万元，增长56.94%，主要原因是2023年较2022年正式人员人数上涨，相应的人员经费上涨。人员经费用途主要包括人员的工资福利及五险一金等支出。公用经费41.07万元，较上年决算数增加5.29万元，增长14.78%，主要原因是2023年较2022年正式人员人数上涨，相应的公用经费上涨。公用经费用途主要包括办公费、印刷费、水费、电费、邮电费、物业管理费等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度“三公”经费支出共计4.00万元，较年初预算数无增减，主要原因按照县委县政府压减开支要求，严格按预算执行相关支出。较上年支出数增加4.00万元，增长100.00%，主要原因是本单位2022年年初预算时未编制“三公”经费，从2022年决算取数上看本单位2022年未产生“三公”经费支出，故2023年“三公”经费较上年增长100%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2023年度本单位因公出国（境）费用0.00万元，费用支出较年初预算数无增减，较上年支出数无增减，主要原因是本年度与上年度均因公出国（境）费用预算，亦无因公出国（境）费用支出发生。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公务车购置费0.00万元，费用支出较年初预算数无增减，较上年支出数无增减，主要原因是本单位没有公务用车编制，本年度与上年度均无公务用车购置费预算，亦无公务车购置费支出发生。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公务车运行维护费0.00万元，费用支出较年初预算数无增减，较上年支出数无增减，主要原因是本单位没有公务用车编制，本年度与上年度均无公务车运行维护费预算，亦无公务车运行维护费支出发生。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务接待费4.00万元，主要用于接待上级来巫指导工作、周边区县相互交流学习执法经验及“强转树”专项行动考核工作事项接待等支出。费用支出较年初预算数无增减，主要原因是按照县委县政府压减开支要求，严格按预算执行相关支出。较上年支出数增加4.00万元，增长100.00%，主要原因是上年年初未编制公务接待费，从2022年决算取数上看本单位2022年未产生“三公”经费支出，故2023年“三公”经费较上年增长100%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度本单位因公出国（境）共计0个团组，0人；公务用车购置0辆，公务车保有量为0辆；国内公务接待50批次500人，其中：国内外事接待0批次，0人；国（境）外公务接待0批次，0人。2023年本单位人均接待费80.00元，车均购置费0万元，车均维护费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本年度会议费支出0.00万元，较上年决算数无增减，主要原因是本年度与上年度本单位均未编制会议费。本年度培训费支出0.00万元，较上年决算数无变化，主要原因是本年度与上年度本单位均未编制培训费。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度本单位机关运行经费支出41.07万元，机关运行经费主要用于开支办公费、印刷费、水费、电费、邮电费、物业管理费等费用。机关运行经费较上年支出数增加41.07万元，增长100.00%，主要原因是为规范管理2023年本单位新增参公人员1人，该人员往年预算均在上级机关巫溪县城市管理局，故数据较上年增加，且增加100%。按照2023年部门决算列报口径，填报时必须将我单位改为参照公务员管理单位，且须将本单位本年度所有正式人员（28人）公用经费纳入运行经费中才能上报通过，故本单位2023年较上年运行经费上涨41.07万元。同时因本单位实际为公益一类事业单位，且未纳入参照公务员管理，故机关运行经费支出数据与本单位实际存在差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本单位所有的固定资产均由上级单位县城管局统一上报，本单位资产未纳入部门决算报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2023年度本单位未发生政府采购事项，无相关经费支出。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本单位为二级预算单位，财政仅预算人员基本支出，无其他一级、二级项目，因此无相关预算绩效管理问题。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（一）财政拨款收入：</w:t>
      </w:r>
      <w:r>
        <w:rPr>
          <w:rFonts w:hint="eastAsia" w:ascii="方正仿宋_GBK" w:hAnsi="方正仿宋_GBK" w:eastAsia="方正仿宋_GBK" w:cs="方正仿宋_GBK"/>
          <w:sz w:val="32"/>
          <w:szCs w:val="32"/>
          <w:lang w:val="en-US" w:eastAsia="zh-CN"/>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（二）事业收入：</w:t>
      </w:r>
      <w:r>
        <w:rPr>
          <w:rFonts w:hint="eastAsia" w:ascii="方正仿宋_GBK" w:hAnsi="方正仿宋_GBK" w:eastAsia="方正仿宋_GBK" w:cs="方正仿宋_GBK"/>
          <w:sz w:val="32"/>
          <w:szCs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（三）经营收入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（四）其他收入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（五）使用非财政拨款结余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（六）年初结转和结余：</w:t>
      </w:r>
      <w:r>
        <w:rPr>
          <w:rFonts w:hint="eastAsia" w:ascii="方正仿宋_GBK" w:hAnsi="方正仿宋_GBK" w:eastAsia="方正仿宋_GBK" w:cs="方正仿宋_GBK"/>
          <w:sz w:val="32"/>
          <w:szCs w:val="32"/>
          <w:lang w:val="en-US" w:eastAsia="zh-CN"/>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（七）结余分配：</w:t>
      </w:r>
      <w:r>
        <w:rPr>
          <w:rFonts w:hint="eastAsia" w:ascii="方正仿宋_GBK" w:hAnsi="方正仿宋_GBK" w:eastAsia="方正仿宋_GBK" w:cs="方正仿宋_GBK"/>
          <w:sz w:val="32"/>
          <w:szCs w:val="32"/>
          <w:lang w:val="en-US" w:eastAsia="zh-CN"/>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（十一）经营支出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（十二）“三公”经费：</w:t>
      </w:r>
      <w:r>
        <w:rPr>
          <w:rFonts w:hint="eastAsia" w:ascii="方正仿宋_GBK" w:hAnsi="方正仿宋_GBK" w:eastAsia="方正仿宋_GBK" w:cs="方正仿宋_GBK"/>
          <w:sz w:val="32"/>
          <w:szCs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（十三）机关运行经费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（十四）工资福利支出（支出经济分类科目类级）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（十五）商品和服务支出（支出经济分类科目类级）</w:t>
      </w:r>
      <w:r>
        <w:rPr>
          <w:rFonts w:hint="eastAsia" w:ascii="方正仿宋_GBK" w:hAnsi="方正仿宋_GBK" w:eastAsia="方正仿宋_GBK" w:cs="方正仿宋_GBK"/>
          <w:sz w:val="32"/>
          <w:szCs w:val="32"/>
        </w:rPr>
        <w:t>：反</w:t>
      </w:r>
      <w:r>
        <w:rPr>
          <w:rFonts w:hint="eastAsia" w:ascii="方正仿宋_GBK" w:hAnsi="方正仿宋_GBK" w:eastAsia="方正仿宋_GBK" w:cs="方正仿宋_GBK"/>
          <w:sz w:val="32"/>
          <w:szCs w:val="32"/>
          <w:lang w:val="en-US" w:eastAsia="zh-CN"/>
        </w:rPr>
        <w:t>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（十六）对个人和家庭的补助（支出经济分类科目类级）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（十七）其他资本性支出（支出经济分类科目类级）</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ind w:firstLine="640" w:firstLineChars="200"/>
        <w:rPr>
          <w:rFonts w:hint="eastAsia" w:ascii="方正仿宋_GBK" w:hAnsi="方正仿宋_GBK" w:eastAsia="方正仿宋_GBK" w:cs="方正仿宋_GBK"/>
          <w:sz w:val="32"/>
          <w:szCs w:val="32"/>
          <w:lang w:val="en-US" w:eastAsia="zh-CN"/>
        </w:rPr>
        <w:sectPr>
          <w:footerReference r:id="rId3" w:type="default"/>
          <w:pgSz w:w="11915" w:h="16840"/>
          <w:pgMar w:top="1134" w:right="1134" w:bottom="1134" w:left="1134"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lang w:val="en-US" w:eastAsia="zh-CN"/>
        </w:rPr>
        <w:t>本单位决算公开信息反馈和联系方式：023-51520334</w:t>
      </w:r>
    </w:p>
    <w:p>
      <w:pPr>
        <w:rPr>
          <w:rFonts w:hint="default" w:cs="宋体"/>
          <w:color w:val="auto"/>
          <w:sz w:val="21"/>
          <w:szCs w:val="21"/>
        </w:rPr>
      </w:pPr>
    </w:p>
    <w:tbl>
      <w:tblPr>
        <w:tblStyle w:val="9"/>
        <w:tblW w:w="15393" w:type="dxa"/>
        <w:jc w:val="center"/>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jc w:val="center"/>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CellMar>
            <w:top w:w="0" w:type="dxa"/>
            <w:left w:w="0" w:type="dxa"/>
            <w:bottom w:w="0" w:type="dxa"/>
            <w:right w:w="0" w:type="dxa"/>
          </w:tblCellMar>
        </w:tblPrEx>
        <w:trPr>
          <w:trHeight w:val="232" w:hRule="atLeast"/>
          <w:jc w:val="center"/>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CellMar>
            <w:top w:w="0" w:type="dxa"/>
            <w:left w:w="0" w:type="dxa"/>
            <w:bottom w:w="0" w:type="dxa"/>
            <w:right w:w="0" w:type="dxa"/>
          </w:tblCellMar>
        </w:tblPrEx>
        <w:trPr>
          <w:trHeight w:val="232" w:hRule="atLeast"/>
          <w:jc w:val="center"/>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重庆市巫溪县城市管理综合行政执法支队</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243" w:hRule="atLeast"/>
          <w:jc w:val="center"/>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512.89</w:t>
            </w: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52.92</w:t>
            </w: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19.53</w:t>
            </w: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416.32</w:t>
            </w: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24.12</w:t>
            </w: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512.89</w:t>
            </w: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512.89</w:t>
            </w: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5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512.89</w:t>
            </w:r>
            <w:r>
              <w:rPr>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512.89</w:t>
            </w:r>
            <w:r>
              <w:rPr>
                <w:color w:val="auto"/>
                <w:sz w:val="20"/>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9"/>
        <w:tblW w:w="15378" w:type="dxa"/>
        <w:jc w:val="center"/>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jc w:val="center"/>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CellMar>
            <w:top w:w="0" w:type="dxa"/>
            <w:left w:w="0" w:type="dxa"/>
            <w:bottom w:w="0" w:type="dxa"/>
            <w:right w:w="0" w:type="dxa"/>
          </w:tblCellMar>
        </w:tblPrEx>
        <w:trPr>
          <w:trHeight w:val="328" w:hRule="atLeast"/>
          <w:jc w:val="center"/>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重庆市巫溪县城市管理综合行政执法支队</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CellMar>
            <w:top w:w="0" w:type="dxa"/>
            <w:left w:w="0" w:type="dxa"/>
            <w:bottom w:w="0" w:type="dxa"/>
            <w:right w:w="0" w:type="dxa"/>
          </w:tblCellMar>
        </w:tblPrEx>
        <w:trPr>
          <w:trHeight w:val="328" w:hRule="atLeast"/>
          <w:jc w:val="center"/>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31" w:hRule="atLeast"/>
          <w:jc w:val="center"/>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CellMar>
            <w:top w:w="0" w:type="dxa"/>
            <w:left w:w="0" w:type="dxa"/>
            <w:bottom w:w="0" w:type="dxa"/>
            <w:right w:w="0" w:type="dxa"/>
          </w:tblCellMar>
        </w:tblPrEx>
        <w:trPr>
          <w:trHeight w:val="334" w:hRule="atLeast"/>
          <w:jc w:val="center"/>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512.89</w:t>
            </w: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512.89</w:t>
            </w: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52.92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52.92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52.92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52.92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2.35</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2.35</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31.97</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31.97</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18.59</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18.59</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19.53</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19.53</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19.53</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19.53</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0.99</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0.99</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18.54</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18.54</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416.32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416.32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416.32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416.32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城管执法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416.32</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416.32</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24.12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24.12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24.12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24.12</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24.12</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24.12</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p>
    <w:tbl>
      <w:tblPr>
        <w:tblStyle w:val="9"/>
        <w:tblW w:w="15378" w:type="dxa"/>
        <w:jc w:val="center"/>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CellMar>
            <w:top w:w="0" w:type="dxa"/>
            <w:left w:w="0" w:type="dxa"/>
            <w:bottom w:w="0" w:type="dxa"/>
            <w:right w:w="0" w:type="dxa"/>
          </w:tblCellMar>
        </w:tblPrEx>
        <w:trPr>
          <w:trHeight w:val="342" w:hRule="atLeast"/>
          <w:jc w:val="center"/>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重庆市巫溪县城市管理综合行政执法支队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CellMar>
            <w:top w:w="0" w:type="dxa"/>
            <w:left w:w="0" w:type="dxa"/>
            <w:bottom w:w="0" w:type="dxa"/>
            <w:right w:w="0" w:type="dxa"/>
          </w:tblCellMar>
        </w:tblPrEx>
        <w:trPr>
          <w:trHeight w:val="342" w:hRule="atLeast"/>
          <w:jc w:val="center"/>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62" w:hRule="atLeast"/>
          <w:jc w:val="center"/>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CellMar>
            <w:top w:w="0" w:type="dxa"/>
            <w:left w:w="0" w:type="dxa"/>
            <w:bottom w:w="0" w:type="dxa"/>
            <w:right w:w="0" w:type="dxa"/>
          </w:tblCellMar>
        </w:tblPrEx>
        <w:trPr>
          <w:trHeight w:val="338" w:hRule="atLeast"/>
          <w:jc w:val="center"/>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jc w:val="center"/>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jc w:val="center"/>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jc w:val="center"/>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62" w:hRule="atLeast"/>
          <w:jc w:val="center"/>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512.89</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512.89</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52.92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52.92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52.92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52.92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2.35</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2.35</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31.97</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31.97</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18.59</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18.59</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19.53</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19.53</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19.53</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19.53</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0.99</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0.99</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18.54</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18.54</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416.32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416.32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416.32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416.32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城管执法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416.32</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416.32</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24.12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24.12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24.12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24.12</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jc w:val="center"/>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24.12</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24.12</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p>
    <w:p>
      <w:pPr>
        <w:rPr>
          <w:rFonts w:hint="default" w:cs="宋体"/>
          <w:color w:val="auto"/>
          <w:sz w:val="21"/>
          <w:szCs w:val="21"/>
        </w:rPr>
      </w:pPr>
    </w:p>
    <w:tbl>
      <w:tblPr>
        <w:tblStyle w:val="9"/>
        <w:tblW w:w="14732" w:type="dxa"/>
        <w:jc w:val="center"/>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重庆市巫溪县城市管理综合行政执法支队</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CellMar>
            <w:top w:w="0" w:type="dxa"/>
            <w:left w:w="0" w:type="dxa"/>
            <w:bottom w:w="0" w:type="dxa"/>
            <w:right w:w="0" w:type="dxa"/>
          </w:tblCellMar>
        </w:tblPrEx>
        <w:trPr>
          <w:trHeight w:val="90" w:hRule="atLeast"/>
          <w:jc w:val="center"/>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512.89</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52.92</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52.92</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19.53</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19.53</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416.32</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416.32</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24.12</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24.12</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512.89</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512.89</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512.89</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512.89</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512.89</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512.89</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15378" w:type="dxa"/>
        <w:jc w:val="center"/>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jc w:val="center"/>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重庆市巫溪县城市管理综合行政执法支队</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CellMar>
            <w:top w:w="0" w:type="dxa"/>
            <w:left w:w="0" w:type="dxa"/>
            <w:bottom w:w="0" w:type="dxa"/>
            <w:right w:w="0" w:type="dxa"/>
          </w:tblCellMar>
        </w:tblPrEx>
        <w:trPr>
          <w:trHeight w:val="285" w:hRule="atLeast"/>
          <w:jc w:val="center"/>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08" w:hRule="atLeast"/>
          <w:jc w:val="center"/>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26" w:hRule="atLeast"/>
          <w:jc w:val="center"/>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26" w:hRule="atLeast"/>
          <w:jc w:val="center"/>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5" w:hRule="atLeast"/>
          <w:jc w:val="center"/>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08" w:hRule="atLeast"/>
          <w:jc w:val="center"/>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512.89</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512.89</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52.92</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52.92</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52.92</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52.92</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2.35</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2.35</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31.97</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31.97</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18.59</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18.59</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19.53</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19.53</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19.53</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19.53</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0.99</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0.99</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18.54</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18.54</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416.32</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416.32</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416.32</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416.32</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2120104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城管执法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416.32</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416.32</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24.12</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24.12</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24.12</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24.12</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24.12</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24.12</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9"/>
        <w:tblW w:w="15360" w:type="dxa"/>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jc w:val="center"/>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重庆市巫溪县城市管理综合行政执法支队</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CellMar>
            <w:top w:w="0" w:type="dxa"/>
            <w:left w:w="0" w:type="dxa"/>
            <w:bottom w:w="0" w:type="dxa"/>
            <w:right w:w="0" w:type="dxa"/>
          </w:tblCellMar>
        </w:tblPrEx>
        <w:trPr>
          <w:trHeight w:val="90" w:hRule="atLeast"/>
          <w:jc w:val="center"/>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CellMar>
            <w:top w:w="0" w:type="dxa"/>
            <w:left w:w="0" w:type="dxa"/>
            <w:bottom w:w="0" w:type="dxa"/>
            <w:right w:w="0" w:type="dxa"/>
          </w:tblCellMar>
        </w:tblPrEx>
        <w:trPr>
          <w:trHeight w:val="312" w:hRule="atLeast"/>
          <w:jc w:val="center"/>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CellMar>
            <w:top w:w="0" w:type="dxa"/>
            <w:left w:w="0" w:type="dxa"/>
            <w:bottom w:w="0" w:type="dxa"/>
            <w:right w:w="0" w:type="dxa"/>
          </w:tblCellMar>
        </w:tblPrEx>
        <w:trPr>
          <w:trHeight w:val="312" w:hRule="atLeast"/>
          <w:jc w:val="center"/>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469.52</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39.07</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2.00</w:t>
            </w: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100.35</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13.90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17.91</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2.00</w:t>
            </w: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5.02</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3.00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250.95</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0.60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31.97</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18.59</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19.53</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4.00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1.08</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24.12</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0.50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0.80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2.30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4.00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0.20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1.20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2.51</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0.90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0.05</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jc w:val="center"/>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471.82</w:t>
            </w:r>
            <w:r>
              <w:rPr>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41.07</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15378" w:type="dxa"/>
        <w:jc w:val="center"/>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重庆市巫溪县城市管理综合行政执法支队</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CellMar>
            <w:top w:w="0" w:type="dxa"/>
            <w:left w:w="0" w:type="dxa"/>
            <w:bottom w:w="0" w:type="dxa"/>
            <w:right w:w="0" w:type="dxa"/>
          </w:tblCellMar>
        </w:tblPrEx>
        <w:trPr>
          <w:trHeight w:val="329" w:hRule="atLeast"/>
          <w:jc w:val="center"/>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39"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CellMar>
            <w:top w:w="0" w:type="dxa"/>
            <w:left w:w="0" w:type="dxa"/>
            <w:bottom w:w="0" w:type="dxa"/>
            <w:right w:w="0" w:type="dxa"/>
          </w:tblCellMar>
        </w:tblPrEx>
        <w:trPr>
          <w:trHeight w:val="335" w:hRule="atLeast"/>
          <w:jc w:val="center"/>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5"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45"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jc w:val="center"/>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9"/>
        <w:tblW w:w="15378" w:type="dxa"/>
        <w:jc w:val="center"/>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jc w:val="center"/>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重庆市巫溪县城市管理综合行政执法支队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CellMar>
            <w:top w:w="0" w:type="dxa"/>
            <w:left w:w="0" w:type="dxa"/>
            <w:bottom w:w="0" w:type="dxa"/>
            <w:right w:w="0" w:type="dxa"/>
          </w:tblCellMar>
        </w:tblPrEx>
        <w:trPr>
          <w:trHeight w:val="332" w:hRule="atLeast"/>
          <w:jc w:val="center"/>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22"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39" w:hRule="atLeast"/>
          <w:jc w:val="center"/>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39"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26"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1"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9"/>
        <w:tblW w:w="15000" w:type="dxa"/>
        <w:jc w:val="center"/>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jc w:val="center"/>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CellMar>
            <w:top w:w="0" w:type="dxa"/>
            <w:left w:w="170" w:type="dxa"/>
            <w:bottom w:w="0" w:type="dxa"/>
            <w:right w:w="170" w:type="dxa"/>
          </w:tblCellMar>
        </w:tblPrEx>
        <w:trPr>
          <w:trHeight w:val="244" w:hRule="atLeast"/>
          <w:jc w:val="center"/>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CellMar>
            <w:top w:w="0" w:type="dxa"/>
            <w:left w:w="170" w:type="dxa"/>
            <w:bottom w:w="0" w:type="dxa"/>
            <w:right w:w="170" w:type="dxa"/>
          </w:tblCellMar>
        </w:tblPrEx>
        <w:trPr>
          <w:trHeight w:val="244" w:hRule="atLeast"/>
          <w:jc w:val="center"/>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r>
              <w:rPr>
                <w:rFonts w:cs="宋体"/>
                <w:color w:val="auto"/>
                <w:sz w:val="20"/>
                <w:szCs w:val="20"/>
              </w:rPr>
              <w:t xml:space="preserve">公开单位： </w:t>
            </w:r>
            <w:r>
              <w:rPr>
                <w:color w:val="auto"/>
                <w:sz w:val="20"/>
                <w:u w:color="auto"/>
              </w:rPr>
              <w:t>重庆市巫溪县城市管理综合行政执法支队</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170" w:type="dxa"/>
            <w:bottom w:w="0" w:type="dxa"/>
            <w:right w:w="170" w:type="dxa"/>
          </w:tblCellMar>
        </w:tblPrEx>
        <w:trPr>
          <w:trHeight w:val="28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r>
      <w:tr>
        <w:tblPrEx>
          <w:tblCellMar>
            <w:top w:w="0" w:type="dxa"/>
            <w:left w:w="170" w:type="dxa"/>
            <w:bottom w:w="0" w:type="dxa"/>
            <w:right w:w="170" w:type="dxa"/>
          </w:tblCellMar>
        </w:tblPrEx>
        <w:trPr>
          <w:trHeight w:val="28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41.07</w:t>
            </w: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4.00</w:t>
            </w: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4.00</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41.07</w:t>
            </w: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4.00</w:t>
            </w: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4.00</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4.00</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50</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500</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86"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r>
        <w:tblPrEx>
          <w:tblCellMar>
            <w:top w:w="0" w:type="dxa"/>
            <w:left w:w="170" w:type="dxa"/>
            <w:bottom w:w="0" w:type="dxa"/>
            <w:right w:w="170" w:type="dxa"/>
          </w:tblCellMar>
        </w:tblPrEx>
        <w:trPr>
          <w:trHeight w:val="389"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bl>
    <w:p>
      <w:pPr>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2NTU4NDFlYTU5NTNhNDk5ZjMwZjI3ZjViMDYyMD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4723DD"/>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CB7E8E"/>
    <w:rsid w:val="1DD26311"/>
    <w:rsid w:val="1E374ACB"/>
    <w:rsid w:val="1ECF0A66"/>
    <w:rsid w:val="1EF67CA4"/>
    <w:rsid w:val="1F020D3A"/>
    <w:rsid w:val="1F14502A"/>
    <w:rsid w:val="1F2C5189"/>
    <w:rsid w:val="1F4B0B02"/>
    <w:rsid w:val="1FBB35CD"/>
    <w:rsid w:val="1FCD26AF"/>
    <w:rsid w:val="20642787"/>
    <w:rsid w:val="21556F04"/>
    <w:rsid w:val="22403BD3"/>
    <w:rsid w:val="24AB7C0C"/>
    <w:rsid w:val="24B92327"/>
    <w:rsid w:val="24C14514"/>
    <w:rsid w:val="2533755C"/>
    <w:rsid w:val="25791755"/>
    <w:rsid w:val="26396DF4"/>
    <w:rsid w:val="27167136"/>
    <w:rsid w:val="271B442C"/>
    <w:rsid w:val="27B23302"/>
    <w:rsid w:val="29310A5F"/>
    <w:rsid w:val="295F4759"/>
    <w:rsid w:val="29C37A35"/>
    <w:rsid w:val="2A076083"/>
    <w:rsid w:val="2A73162E"/>
    <w:rsid w:val="2B167953"/>
    <w:rsid w:val="2B200583"/>
    <w:rsid w:val="2B8209DE"/>
    <w:rsid w:val="2C636760"/>
    <w:rsid w:val="2C6762A3"/>
    <w:rsid w:val="2D6B70E0"/>
    <w:rsid w:val="2DAF369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A2157"/>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BC1B93"/>
    <w:rsid w:val="3C566AD6"/>
    <w:rsid w:val="3C594871"/>
    <w:rsid w:val="3C6A5B02"/>
    <w:rsid w:val="3D2757A1"/>
    <w:rsid w:val="3D3D4FC4"/>
    <w:rsid w:val="3DDF3AB1"/>
    <w:rsid w:val="3E1D0952"/>
    <w:rsid w:val="3E42660A"/>
    <w:rsid w:val="3E7555B1"/>
    <w:rsid w:val="3E787ED9"/>
    <w:rsid w:val="3F032E93"/>
    <w:rsid w:val="3F0527E5"/>
    <w:rsid w:val="3F694D83"/>
    <w:rsid w:val="3F885DCC"/>
    <w:rsid w:val="3F95B0D8"/>
    <w:rsid w:val="3FCD675E"/>
    <w:rsid w:val="4004000C"/>
    <w:rsid w:val="40BD5482"/>
    <w:rsid w:val="411B6CE5"/>
    <w:rsid w:val="412070D7"/>
    <w:rsid w:val="41314E40"/>
    <w:rsid w:val="41E0734B"/>
    <w:rsid w:val="41EB7D22"/>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80776B"/>
    <w:rsid w:val="56FF7E9E"/>
    <w:rsid w:val="578867FC"/>
    <w:rsid w:val="58325398"/>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D7B44"/>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697C0F"/>
    <w:rsid w:val="72DB435C"/>
    <w:rsid w:val="72E2613A"/>
    <w:rsid w:val="72F771F4"/>
    <w:rsid w:val="73934AD2"/>
    <w:rsid w:val="750837F0"/>
    <w:rsid w:val="754758CF"/>
    <w:rsid w:val="764F62AB"/>
    <w:rsid w:val="765C45EC"/>
    <w:rsid w:val="768A7619"/>
    <w:rsid w:val="76B33209"/>
    <w:rsid w:val="772E1EBA"/>
    <w:rsid w:val="781926BC"/>
    <w:rsid w:val="796D60A4"/>
    <w:rsid w:val="79A031D5"/>
    <w:rsid w:val="7A1525F7"/>
    <w:rsid w:val="7A7608E3"/>
    <w:rsid w:val="7B420052"/>
    <w:rsid w:val="7BD06A28"/>
    <w:rsid w:val="7C3A7C0B"/>
    <w:rsid w:val="7C5248E4"/>
    <w:rsid w:val="7C566698"/>
    <w:rsid w:val="7C5866A3"/>
    <w:rsid w:val="7D7406BB"/>
    <w:rsid w:val="7DE94331"/>
    <w:rsid w:val="7F446A19"/>
    <w:rsid w:val="7F7452B9"/>
    <w:rsid w:val="DFF59BF9"/>
    <w:rsid w:val="F36FB3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15"/>
    <w:basedOn w:val="11"/>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4001</Words>
  <Characters>22811</Characters>
  <Lines>190</Lines>
  <Paragraphs>53</Paragraphs>
  <TotalTime>24</TotalTime>
  <ScaleCrop>false</ScaleCrop>
  <LinksUpToDate>false</LinksUpToDate>
  <CharactersWithSpaces>26759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GreatWall</cp:lastModifiedBy>
  <dcterms:modified xsi:type="dcterms:W3CDTF">2024-10-08T14:51:53Z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BB46EABDBB2749749395447164B066B3_12</vt:lpwstr>
  </property>
</Properties>
</file>