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bookmarkStart w:id="0" w:name="_GoBack"/>
      <w:bookmarkEnd w:id="0"/>
    </w:p>
    <w:p>
      <w:pPr>
        <w:adjustRightInd w:val="0"/>
        <w:snapToGrid w:val="0"/>
        <w:spacing w:line="600" w:lineRule="exact"/>
        <w:jc w:val="center"/>
        <w:rPr>
          <w:rFonts w:hint="default" w:ascii="Times New Roman" w:hAnsi="Times New Roman" w:eastAsia="方正小标宋_GBK" w:cs="Times New Roman"/>
          <w:spacing w:val="-45"/>
          <w:sz w:val="44"/>
          <w:szCs w:val="44"/>
        </w:rPr>
      </w:pPr>
      <w:r>
        <w:rPr>
          <w:rFonts w:hint="eastAsia" w:ascii="Times New Roman" w:hAnsi="Times New Roman" w:eastAsia="方正小标宋_GBK" w:cs="Times New Roman"/>
          <w:sz w:val="44"/>
          <w:szCs w:val="44"/>
          <w:lang w:eastAsia="zh-CN"/>
        </w:rPr>
        <w:t>巫溪县</w:t>
      </w:r>
      <w:r>
        <w:rPr>
          <w:rFonts w:hint="default" w:ascii="Times New Roman" w:hAnsi="Times New Roman" w:eastAsia="方正小标宋_GBK" w:cs="Times New Roman"/>
          <w:sz w:val="44"/>
          <w:szCs w:val="44"/>
        </w:rPr>
        <w:t>农村危房改造领域基层政务公开标准目录</w:t>
      </w:r>
    </w:p>
    <w:tbl>
      <w:tblPr>
        <w:tblStyle w:val="2"/>
        <w:tblW w:w="14364" w:type="dxa"/>
        <w:jc w:val="center"/>
        <w:tblLayout w:type="autofit"/>
        <w:tblCellMar>
          <w:top w:w="0" w:type="dxa"/>
          <w:left w:w="0" w:type="dxa"/>
          <w:bottom w:w="0" w:type="dxa"/>
          <w:right w:w="0" w:type="dxa"/>
        </w:tblCellMar>
      </w:tblPr>
      <w:tblGrid>
        <w:gridCol w:w="485"/>
        <w:gridCol w:w="337"/>
        <w:gridCol w:w="607"/>
        <w:gridCol w:w="527"/>
        <w:gridCol w:w="1161"/>
        <w:gridCol w:w="2672"/>
        <w:gridCol w:w="1094"/>
        <w:gridCol w:w="797"/>
        <w:gridCol w:w="3306"/>
        <w:gridCol w:w="338"/>
        <w:gridCol w:w="608"/>
        <w:gridCol w:w="608"/>
        <w:gridCol w:w="608"/>
        <w:gridCol w:w="608"/>
        <w:gridCol w:w="608"/>
      </w:tblGrid>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1984"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决策</w:t>
            </w: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部门</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文件</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农村危房改造相关文件</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文件标题、文号、有效性、关键词、具体内容、生成日期等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1.《中华人民共和国政府信息公开条例》；</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2.《中共中央办公厅国务院办公厅印发〈关于全面推进政务公开工作的意见〉的通知》；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3.《中共中央办公厅 国务院办公厅关于建立健全信息发布和政策解读机制的意见》；</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4.《国务院办公厅印发〈关于全面推进政务公开工作的意见〉实施细则的通知》；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5.《住房城乡建设部办公厅关于印发保障性住房等基层政务公开标准目录的通知》。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933"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政策</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解读</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上级政策解读</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着重解读政策措施的背景依据、目标任务、主要内容、涉及范围、执行标准，以及注意事项、关键词诠释、惠民利民举措、新旧政策差异等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2128"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本级政策解读</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350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执行</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计划</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任务分配</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0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及时公开农村危房改造补助农户名单</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2.《重庆市住房和城乡建设委员会重庆市财政局 重庆市民政局 重庆市乡村振兴局 关于做好农村低收入群体等重点对象住房安全保障工作的通知》等。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分配结果确定后20个工作日内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337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组织培训</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0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组织开展农村建筑工匠培训文件</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1.《住房城乡建设部关于切实加强农房建设质量安全管理的通知》。</w:t>
            </w:r>
          </w:p>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2.《重庆市住房和城乡建设委员会重庆市财政局 重庆市民政局 重庆市乡村振兴局 关于做好农村低收入群体等重点对象住房安全保障工作的通知》。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w:t>
            </w:r>
          </w:p>
        </w:tc>
        <w:tc>
          <w:tcPr>
            <w:tcW w:w="33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管理</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条件</w:t>
            </w:r>
          </w:p>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与标</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农村危房等级评定标准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农村危房等级评定相关标准</w:t>
            </w:r>
          </w:p>
        </w:tc>
        <w:tc>
          <w:tcPr>
            <w:tcW w:w="267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1.《中华人民共和国预算法》</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《中华人民共和国政府信息公开条例》；</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3.《财政部 住房城乡建设部关于印发〈中央财政农村危房改造补助资金管理暂行办法〉的通知》；</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4.《重庆市住房和城乡建设委员会重庆市财政局 重庆市民政局 重庆市乡村振兴局 关于做好农村低收入群体等重点对象住房安全保障工作的通知》；</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5.《重庆市住房和城乡建设委员会关于印发</w:t>
            </w:r>
            <w:r>
              <w:rPr>
                <w:rFonts w:hint="default" w:ascii="Times New Roman" w:hAnsi="Times New Roman" w:eastAsia="仿宋" w:cs="Times New Roman"/>
                <w:kern w:val="0"/>
                <w:sz w:val="18"/>
                <w:szCs w:val="18"/>
              </w:rPr>
              <w:t>〈</w:t>
            </w:r>
            <w:r>
              <w:rPr>
                <w:rFonts w:hint="default" w:ascii="Times New Roman" w:hAnsi="Times New Roman" w:cs="Times New Roman"/>
                <w:kern w:val="0"/>
                <w:sz w:val="18"/>
                <w:szCs w:val="18"/>
              </w:rPr>
              <w:t>重庆市农村住房安全性鉴定技术导则</w:t>
            </w:r>
            <w:r>
              <w:rPr>
                <w:rFonts w:hint="default" w:ascii="Times New Roman" w:hAnsi="Times New Roman" w:eastAsia="仿宋" w:cs="Times New Roman"/>
                <w:kern w:val="0"/>
                <w:sz w:val="18"/>
                <w:szCs w:val="18"/>
              </w:rPr>
              <w:t>〉</w:t>
            </w:r>
            <w:r>
              <w:rPr>
                <w:rFonts w:hint="default" w:ascii="Times New Roman" w:hAnsi="Times New Roman" w:cs="Times New Roman"/>
                <w:kern w:val="0"/>
                <w:sz w:val="18"/>
                <w:szCs w:val="18"/>
              </w:rPr>
              <w:t>的通知》；</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6.《重庆市人民政府关于加快全市农村危房改造的实施意见》；</w:t>
            </w:r>
          </w:p>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7.</w:t>
            </w:r>
            <w:r>
              <w:rPr>
                <w:rFonts w:hint="default" w:ascii="Times New Roman" w:hAnsi="Times New Roman" w:cs="Times New Roman"/>
                <w:color w:val="FF0000"/>
                <w:kern w:val="0"/>
                <w:sz w:val="18"/>
                <w:szCs w:val="18"/>
              </w:rPr>
              <w:t>《关于印发〈重庆市农村危房改造补助资金管理细则〉的通知》</w:t>
            </w:r>
            <w:r>
              <w:rPr>
                <w:rFonts w:hint="default" w:ascii="Times New Roman" w:hAnsi="Times New Roman" w:cs="Times New Roman"/>
                <w:kern w:val="0"/>
                <w:sz w:val="18"/>
                <w:szCs w:val="18"/>
              </w:rPr>
              <w:t>等</w:t>
            </w:r>
            <w:r>
              <w:rPr>
                <w:rFonts w:hint="default" w:ascii="Times New Roman" w:hAnsi="Times New Roman" w:cs="Times New Roman"/>
                <w:color w:val="FF0000"/>
                <w:kern w:val="0"/>
                <w:sz w:val="18"/>
                <w:szCs w:val="18"/>
              </w:rPr>
              <w:t>。</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77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w:t>
            </w:r>
          </w:p>
        </w:tc>
        <w:tc>
          <w:tcPr>
            <w:tcW w:w="337"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农村危房改造对象申请条件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农村危房改造农户申请条件</w:t>
            </w:r>
          </w:p>
        </w:tc>
        <w:tc>
          <w:tcPr>
            <w:tcW w:w="267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70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w:t>
            </w:r>
          </w:p>
        </w:tc>
        <w:tc>
          <w:tcPr>
            <w:tcW w:w="337"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农村危房改造资金补助标准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农村危房改造资金补助标准</w:t>
            </w:r>
          </w:p>
        </w:tc>
        <w:tc>
          <w:tcPr>
            <w:tcW w:w="267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63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9</w:t>
            </w:r>
          </w:p>
        </w:tc>
        <w:tc>
          <w:tcPr>
            <w:tcW w:w="33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条件</w:t>
            </w:r>
          </w:p>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与标</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农村危房改造竣工合格标准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农村危房改造竣工验收要求</w:t>
            </w:r>
          </w:p>
        </w:tc>
        <w:tc>
          <w:tcPr>
            <w:tcW w:w="267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2420" w:hRule="atLeast"/>
          <w:jc w:val="center"/>
        </w:trPr>
        <w:tc>
          <w:tcPr>
            <w:tcW w:w="48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管理</w:t>
            </w:r>
          </w:p>
        </w:tc>
        <w:tc>
          <w:tcPr>
            <w:tcW w:w="607" w:type="dxa"/>
            <w:vMerge w:val="restart"/>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对象</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认定</w:t>
            </w:r>
          </w:p>
        </w:tc>
        <w:tc>
          <w:tcPr>
            <w:tcW w:w="527"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危改户认定程序</w:t>
            </w:r>
          </w:p>
        </w:tc>
        <w:tc>
          <w:tcPr>
            <w:tcW w:w="1161"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农村危房改造申请程序</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1.《住房和城乡建设部 财政部 民政部 国家乡村振兴局关于做好农村低收入群体等重点对象住房安全保障工作的实施意见》；</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2.《重庆市住房和城乡建设委员会重庆市财政局 重庆市民政局 重庆市乡村振兴局 关于做好农村低收入群体等重点对象住房安全保障工作的通知》；</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3.《重庆市住房和城乡建设委员会关于印发〈重庆市农村住房安全性鉴定技术导则〉的通知》；</w:t>
            </w:r>
          </w:p>
          <w:p>
            <w:pPr>
              <w:widowControl/>
              <w:spacing w:line="240" w:lineRule="exact"/>
              <w:jc w:val="left"/>
              <w:textAlignment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4.《重庆市人民政府关于加快全市农村危房改造的实施意见》；</w:t>
            </w:r>
          </w:p>
          <w:p>
            <w:pPr>
              <w:widowControl/>
              <w:spacing w:line="24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5.</w:t>
            </w:r>
            <w:r>
              <w:rPr>
                <w:rFonts w:hint="default" w:ascii="Times New Roman" w:hAnsi="Times New Roman" w:cs="Times New Roman"/>
                <w:color w:val="FF0000"/>
                <w:kern w:val="0"/>
                <w:sz w:val="18"/>
                <w:szCs w:val="18"/>
              </w:rPr>
              <w:t>《关于印发〈重庆市农村危房改造补助资金管理细则〉的通知》等。</w:t>
            </w:r>
          </w:p>
        </w:tc>
        <w:tc>
          <w:tcPr>
            <w:tcW w:w="1094"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24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认定结果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认定结果</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乡镇人民政府、村委会</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2083"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预算</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管理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预算编制和执行情况</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预算、预算调整、决算、预算执行情况的报告及报表有关内容，部门预算、决算及报表有关内容</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1.《中华人民共和国预算法》</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2.《中华人民共和国政府信息公开条例》</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3.《住房城乡建设部办公厅关于印发保障性住房等基层政务公开标准目录的通知》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经区县级人民代表大会、人民代表大会常务委员会批准或财政部门批复后20日内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区县财政部门、住房城乡建设部门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478"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公开内容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 xml:space="preserve">         公开渠道和载体               （“■”表示必选项，“□”表示可选项）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公开层级</w:t>
            </w:r>
          </w:p>
        </w:tc>
      </w:tr>
      <w:tr>
        <w:tblPrEx>
          <w:tblCellMar>
            <w:top w:w="0" w:type="dxa"/>
            <w:left w:w="0" w:type="dxa"/>
            <w:bottom w:w="0" w:type="dxa"/>
            <w:right w:w="0" w:type="dxa"/>
          </w:tblCellMar>
        </w:tblPrEx>
        <w:trPr>
          <w:trHeight w:val="709"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一级 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特定 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乡级</w:t>
            </w:r>
          </w:p>
        </w:tc>
      </w:tr>
      <w:tr>
        <w:tblPrEx>
          <w:tblCellMar>
            <w:top w:w="0" w:type="dxa"/>
            <w:left w:w="0" w:type="dxa"/>
            <w:bottom w:w="0" w:type="dxa"/>
            <w:right w:w="0" w:type="dxa"/>
          </w:tblCellMar>
        </w:tblPrEx>
        <w:trPr>
          <w:trHeight w:val="173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结果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决策</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部署</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决策部署落实情况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决策部署落实情况等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1.《中共中央办公厅国务院办公厅印发〈关于全面推进政务公开工作的意见〉的通知》；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2.《国务院办公厅印发〈关于全面推进政务公开工作的意见〉实施细则的通知》；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3.《住房城乡建设部办公厅关于印发保障性住房等基层政务公开标准目录的通知》。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5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w:t>
            </w:r>
          </w:p>
          <w:p>
            <w:pPr>
              <w:widowControl/>
              <w:jc w:val="center"/>
              <w:textAlignment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任务</w:t>
            </w:r>
          </w:p>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年度任务执行情况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年度工作完成情况等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5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回应关切</w:t>
            </w: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舆情收集热点及关键问题回应</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舆情收集回应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接受投诉、咨询、建议等联系电话、通信地址等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1.《政府信息公开条例》；</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2.《中共中央办公厅国务院办公厅印发〈关于全面推进政务公开工作的意见〉的通知》；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3.《国务院办公厅印发〈关于全面推进政务公开工作的意见〉实施细则的通知》；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4.《住房城乡建设部办公厅关于印发保障性住房等基层政务公开标准目录的通知》。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信息形成之日起20个工作日内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r>
        <w:tblPrEx>
          <w:tblCellMar>
            <w:top w:w="0" w:type="dxa"/>
            <w:left w:w="0" w:type="dxa"/>
            <w:bottom w:w="0" w:type="dxa"/>
            <w:right w:w="0" w:type="dxa"/>
          </w:tblCellMar>
        </w:tblPrEx>
        <w:trPr>
          <w:trHeight w:val="162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互动回应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涉及群众切身利益和舆论关注的焦点热点及关键问题等回应内容</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及时发布信息；对涉及重大舆情的，要快速反应，并根据工作进展情况，持续发布信息</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辖区政府、区县住房城乡建设部门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■政府网站      □政府公报</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 xml:space="preserve">□两微一端      □发布会/听证会 </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□广播电视      □纸质媒体</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□公开查阅点    □政务服务中心</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□便民服务站    □入户/现场</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□社区/企事业单位/村公示栏（电子屏）</w:t>
            </w:r>
            <w:r>
              <w:rPr>
                <w:rFonts w:hint="default" w:ascii="Times New Roman" w:hAnsi="Times New Roman" w:cs="Times New Roman"/>
                <w:color w:val="000000"/>
                <w:kern w:val="0"/>
                <w:sz w:val="18"/>
                <w:szCs w:val="18"/>
              </w:rPr>
              <w:br w:type="textWrapping"/>
            </w:r>
            <w:r>
              <w:rPr>
                <w:rFonts w:hint="default" w:ascii="Times New Roman" w:hAnsi="Times New Roman" w:cs="Times New Roman"/>
                <w:color w:val="000000"/>
                <w:kern w:val="0"/>
                <w:sz w:val="18"/>
                <w:szCs w:val="18"/>
              </w:rPr>
              <w:t>□精准推送      □其他_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w:t>
            </w:r>
          </w:p>
        </w:tc>
      </w:tr>
    </w:tbl>
    <w:p>
      <w:pPr>
        <w:adjustRightInd w:val="0"/>
        <w:snapToGrid w:val="0"/>
        <w:spacing w:line="600" w:lineRule="exact"/>
        <w:rPr>
          <w:rFonts w:hint="default" w:ascii="Times New Roman" w:hAnsi="Times New Roman" w:eastAsia="方正仿宋_GBK" w:cs="Times New Roman"/>
          <w:sz w:val="32"/>
          <w:szCs w:val="32"/>
        </w:rPr>
        <w:sectPr>
          <w:pgSz w:w="16838" w:h="11906" w:orient="landscape"/>
          <w:pgMar w:top="1531" w:right="567" w:bottom="1701" w:left="567" w:header="851" w:footer="992" w:gutter="0"/>
          <w:pgNumType w:fmt="numberInDash"/>
          <w:cols w:space="720" w:num="1"/>
          <w:docGrid w:linePitch="312" w:charSpace="0"/>
        </w:sectPr>
      </w:pPr>
    </w:p>
    <w:p>
      <w:pPr>
        <w:rPr>
          <w:rFonts w:hint="default" w:eastAsia="宋体"/>
          <w:lang w:val="en-US" w:eastAsia="zh-CN"/>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2EBF5FA"/>
    <w:rsid w:val="C2EBF5FA"/>
    <w:rsid w:val="DB3BA83F"/>
    <w:rsid w:val="FE77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2025-01-22T21:24:00Z</dcterms:created>
  <dc:creator>GreatWall</dc:creator>
  <cp:lastModifiedBy>GreatWall</cp:lastModifiedBy>
  <dcterms:modified xsi:type="dcterms:W3CDTF">2025-01-22T13:32:24Z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7D8428DE340CF53CE882906749C501CC</vt:lpwstr>
  </property>
</Properties>
</file>