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重庆市巫溪县尖山镇人民政府</w:t>
      </w:r>
    </w:p>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一、部门基本情况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keepNext w:val="0"/>
        <w:keepLines w:val="0"/>
        <w:widowControl w:val="0"/>
        <w:suppressLineNumbers w:val="0"/>
        <w:autoSpaceDE w:val="0"/>
        <w:autoSpaceDN/>
        <w:spacing w:line="596" w:lineRule="exact"/>
        <w:ind w:left="0" w:firstLine="640" w:firstLineChars="200"/>
        <w:jc w:val="both"/>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本</w:t>
      </w:r>
      <w:r>
        <w:rPr>
          <w:rFonts w:hint="eastAsia" w:ascii="方正仿宋_GBK" w:hAnsi="方正仿宋_GBK" w:eastAsia="方正仿宋_GBK" w:cs="方正仿宋_GBK"/>
          <w:kern w:val="0"/>
          <w:sz w:val="32"/>
          <w:szCs w:val="32"/>
          <w:shd w:val="clear" w:fill="FFFFFF"/>
          <w:lang w:val="en-US" w:eastAsia="zh-CN"/>
        </w:rPr>
        <w:t>部门</w:t>
      </w:r>
      <w:r>
        <w:rPr>
          <w:rFonts w:hint="eastAsia" w:ascii="方正仿宋_GBK" w:hAnsi="方正仿宋_GBK" w:eastAsia="方正仿宋_GBK" w:cs="方正仿宋_GBK"/>
          <w:kern w:val="0"/>
          <w:sz w:val="32"/>
          <w:szCs w:val="32"/>
          <w:shd w:val="clear" w:fill="FFFFFF"/>
        </w:rPr>
        <w:t>属行政单位，履行法律规定的行政职能。尖山镇辖大包、白云、川山、百步、尖山、太平、八佳</w:t>
      </w:r>
      <w:r>
        <w:rPr>
          <w:rFonts w:hint="default" w:ascii="Times New Roman" w:hAnsi="Times New Roman" w:eastAsia="方正仿宋_GBK" w:cs="Times New Roman"/>
          <w:kern w:val="0"/>
          <w:sz w:val="32"/>
          <w:szCs w:val="32"/>
          <w:shd w:val="clear" w:fill="FFFFFF"/>
        </w:rPr>
        <w:t>7</w:t>
      </w:r>
      <w:r>
        <w:rPr>
          <w:rFonts w:hint="eastAsia" w:ascii="方正仿宋_GBK" w:hAnsi="方正仿宋_GBK" w:eastAsia="方正仿宋_GBK" w:cs="方正仿宋_GBK"/>
          <w:kern w:val="0"/>
          <w:sz w:val="32"/>
          <w:szCs w:val="32"/>
          <w:shd w:val="clear" w:fill="FFFFFF"/>
        </w:rPr>
        <w:t>个村，尖山、百步</w:t>
      </w:r>
      <w:r>
        <w:rPr>
          <w:rFonts w:hint="default" w:ascii="Times New Roman" w:hAnsi="Times New Roman" w:eastAsia="方正仿宋_GBK" w:cs="Times New Roman"/>
          <w:kern w:val="0"/>
          <w:sz w:val="32"/>
          <w:szCs w:val="32"/>
          <w:shd w:val="clear" w:fill="FFFFFF"/>
        </w:rPr>
        <w:t>2</w:t>
      </w:r>
      <w:r>
        <w:rPr>
          <w:rFonts w:hint="eastAsia" w:ascii="方正仿宋_GBK" w:hAnsi="方正仿宋_GBK" w:eastAsia="方正仿宋_GBK" w:cs="方正仿宋_GBK"/>
          <w:kern w:val="0"/>
          <w:sz w:val="32"/>
          <w:szCs w:val="32"/>
          <w:shd w:val="clear" w:fill="FFFFFF"/>
        </w:rPr>
        <w:t>个社区。截至</w:t>
      </w:r>
      <w:r>
        <w:rPr>
          <w:rFonts w:hint="default" w:ascii="Times New Roman" w:hAnsi="Times New Roman" w:eastAsia="方正仿宋_GBK" w:cs="Times New Roman"/>
          <w:kern w:val="0"/>
          <w:sz w:val="32"/>
          <w:szCs w:val="32"/>
          <w:shd w:val="clear" w:fill="FFFFFF"/>
        </w:rPr>
        <w:t>202</w:t>
      </w:r>
      <w:r>
        <w:rPr>
          <w:rFonts w:hint="eastAsia" w:ascii="Times New Roman" w:hAnsi="Times New Roman" w:eastAsia="方正仿宋_GBK" w:cs="Times New Roman"/>
          <w:kern w:val="0"/>
          <w:sz w:val="32"/>
          <w:szCs w:val="32"/>
          <w:shd w:val="clear" w:fill="FFFFFF"/>
          <w:lang w:val="en-US" w:eastAsia="zh-CN"/>
        </w:rPr>
        <w:t>3</w:t>
      </w:r>
      <w:r>
        <w:rPr>
          <w:rFonts w:hint="eastAsia" w:ascii="方正仿宋_GBK" w:hAnsi="方正仿宋_GBK" w:eastAsia="方正仿宋_GBK" w:cs="方正仿宋_GBK"/>
          <w:kern w:val="0"/>
          <w:sz w:val="32"/>
          <w:szCs w:val="32"/>
          <w:shd w:val="clear" w:fill="FFFFFF"/>
        </w:rPr>
        <w:t>年年底，辖区共有网格责任区</w:t>
      </w:r>
      <w:r>
        <w:rPr>
          <w:rFonts w:hint="default" w:ascii="Times New Roman" w:hAnsi="Times New Roman" w:eastAsia="方正仿宋_GBK" w:cs="Times New Roman"/>
          <w:kern w:val="0"/>
          <w:sz w:val="32"/>
          <w:szCs w:val="32"/>
          <w:shd w:val="clear" w:fill="FFFFFF"/>
        </w:rPr>
        <w:t>22</w:t>
      </w:r>
      <w:r>
        <w:rPr>
          <w:rFonts w:hint="eastAsia" w:ascii="方正仿宋_GBK" w:hAnsi="方正仿宋_GBK" w:eastAsia="方正仿宋_GBK" w:cs="方正仿宋_GBK"/>
          <w:kern w:val="0"/>
          <w:sz w:val="32"/>
          <w:szCs w:val="32"/>
          <w:shd w:val="clear" w:fill="FFFFFF"/>
        </w:rPr>
        <w:t>个，机关干部</w:t>
      </w:r>
      <w:r>
        <w:rPr>
          <w:rFonts w:hint="default" w:ascii="Times New Roman" w:hAnsi="Times New Roman" w:eastAsia="方正仿宋_GBK" w:cs="Times New Roman"/>
          <w:kern w:val="0"/>
          <w:sz w:val="32"/>
          <w:szCs w:val="32"/>
          <w:shd w:val="clear" w:fill="FFFFFF"/>
        </w:rPr>
        <w:t>42</w:t>
      </w:r>
      <w:r>
        <w:rPr>
          <w:rFonts w:hint="eastAsia" w:ascii="方正仿宋_GBK" w:hAnsi="方正仿宋_GBK" w:eastAsia="方正仿宋_GBK" w:cs="方正仿宋_GBK"/>
          <w:kern w:val="0"/>
          <w:sz w:val="32"/>
          <w:szCs w:val="32"/>
          <w:shd w:val="clear" w:fill="FFFFFF"/>
        </w:rPr>
        <w:t>人，社区干部</w:t>
      </w:r>
      <w:r>
        <w:rPr>
          <w:rFonts w:hint="eastAsia" w:ascii="Times New Roman" w:hAnsi="Times New Roman" w:eastAsia="方正仿宋_GBK" w:cs="Times New Roman"/>
          <w:kern w:val="0"/>
          <w:sz w:val="32"/>
          <w:szCs w:val="32"/>
          <w:shd w:val="clear" w:fill="FFFFFF"/>
          <w:lang w:val="en-US" w:eastAsia="zh-CN"/>
        </w:rPr>
        <w:t>47</w:t>
      </w:r>
      <w:r>
        <w:rPr>
          <w:rFonts w:hint="eastAsia" w:ascii="方正仿宋_GBK" w:hAnsi="方正仿宋_GBK" w:eastAsia="方正仿宋_GBK" w:cs="方正仿宋_GBK"/>
          <w:kern w:val="0"/>
          <w:sz w:val="32"/>
          <w:szCs w:val="32"/>
          <w:shd w:val="clear" w:fill="FFFFFF"/>
        </w:rPr>
        <w:t>人。街道党政机构具有党委和政府两种职能，党委领导政府工作。主要是政治思想和方针政策的领导、干部的选拔、考核和监督、经济和行政工作中重大问题的决策。街道办是基层国家行政机关行使本行政区的行政职能。</w:t>
      </w:r>
    </w:p>
    <w:p>
      <w:pPr>
        <w:keepNext w:val="0"/>
        <w:keepLines w:val="0"/>
        <w:widowControl w:val="0"/>
        <w:suppressLineNumbers w:val="0"/>
        <w:autoSpaceDE w:val="0"/>
        <w:autoSpaceDN/>
        <w:spacing w:line="596" w:lineRule="exact"/>
        <w:ind w:left="0" w:firstLine="640" w:firstLineChars="200"/>
        <w:jc w:val="both"/>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政府职能：</w:t>
      </w:r>
    </w:p>
    <w:p>
      <w:pPr>
        <w:keepNext w:val="0"/>
        <w:keepLines w:val="0"/>
        <w:widowControl w:val="0"/>
        <w:suppressLineNumbers w:val="0"/>
        <w:autoSpaceDE w:val="0"/>
        <w:autoSpaceDN/>
        <w:spacing w:line="596" w:lineRule="exact"/>
        <w:ind w:left="0"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1.</w:t>
      </w:r>
      <w:r>
        <w:rPr>
          <w:rFonts w:hint="eastAsia" w:ascii="方正仿宋_GBK" w:hAnsi="方正仿宋_GBK" w:eastAsia="方正仿宋_GBK" w:cs="方正仿宋_GBK"/>
          <w:kern w:val="0"/>
          <w:sz w:val="32"/>
          <w:szCs w:val="32"/>
          <w:shd w:val="clear" w:fill="FFFFFF"/>
        </w:rPr>
        <w:t>制定和组织实施经济、科技和社会发展计划，制定资源开发技术改造和产业结构调整方案，组织指导好各业生产。搞好商品流通，协调好本辖区与外地区的经济交流与合作，抓好招商引资、人才引进项目开发，不断培育市场体系，组织经济运行，促进经济发展。</w:t>
      </w:r>
    </w:p>
    <w:p>
      <w:pPr>
        <w:keepNext w:val="0"/>
        <w:keepLines w:val="0"/>
        <w:widowControl w:val="0"/>
        <w:suppressLineNumbers w:val="0"/>
        <w:autoSpaceDE w:val="0"/>
        <w:autoSpaceDN/>
        <w:spacing w:line="596" w:lineRule="exact"/>
        <w:ind w:left="0"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w:t>
      </w:r>
      <w:r>
        <w:rPr>
          <w:rFonts w:hint="eastAsia" w:ascii="方正仿宋_GBK" w:hAnsi="方正仿宋_GBK" w:eastAsia="方正仿宋_GBK" w:cs="方正仿宋_GBK"/>
          <w:kern w:val="0"/>
          <w:sz w:val="32"/>
          <w:szCs w:val="32"/>
          <w:shd w:val="clear" w:fill="FFFFFF"/>
        </w:rPr>
        <w:t>制定并组织实施村镇建设规划，部署重点工程建设、地方道路建设及公共设施、水利设施的管理，负责土地、林木、水等自然资源和生态环境的保护，做好护林防火工作。</w:t>
      </w:r>
    </w:p>
    <w:p>
      <w:pPr>
        <w:keepNext w:val="0"/>
        <w:keepLines w:val="0"/>
        <w:widowControl w:val="0"/>
        <w:suppressLineNumbers w:val="0"/>
        <w:autoSpaceDE w:val="0"/>
        <w:autoSpaceDN/>
        <w:spacing w:line="596" w:lineRule="exact"/>
        <w:ind w:left="0"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3.</w:t>
      </w:r>
      <w:r>
        <w:rPr>
          <w:rFonts w:hint="eastAsia" w:ascii="方正仿宋_GBK" w:hAnsi="方正仿宋_GBK" w:eastAsia="方正仿宋_GBK" w:cs="方正仿宋_GBK"/>
          <w:kern w:val="0"/>
          <w:sz w:val="32"/>
          <w:szCs w:val="32"/>
          <w:shd w:val="clear" w:fill="FFFFFF"/>
        </w:rPr>
        <w:t>负责本行政区域内的民政、计划生育、文化教育、卫生、体育等社会公益事业的综合性工作，维护一切经济单位和个人的正当经济权益，取缔非法经济活动，调解和处理民事纠纷，打击刑事犯罪维护社会稳定。</w:t>
      </w:r>
    </w:p>
    <w:p>
      <w:pPr>
        <w:keepNext w:val="0"/>
        <w:keepLines w:val="0"/>
        <w:widowControl w:val="0"/>
        <w:suppressLineNumbers w:val="0"/>
        <w:autoSpaceDE w:val="0"/>
        <w:autoSpaceDN/>
        <w:spacing w:line="596" w:lineRule="exact"/>
        <w:ind w:left="0"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4.</w:t>
      </w:r>
      <w:r>
        <w:rPr>
          <w:rFonts w:hint="eastAsia" w:ascii="方正仿宋_GBK" w:hAnsi="方正仿宋_GBK" w:eastAsia="方正仿宋_GBK" w:cs="方正仿宋_GBK"/>
          <w:kern w:val="0"/>
          <w:sz w:val="32"/>
          <w:szCs w:val="32"/>
          <w:shd w:val="clear" w:fill="FFFFFF"/>
        </w:rPr>
        <w:t>按计划组织本级财政收入和地方税的征收完成国家财政计划，不断培植税源，管好财政资金，增强财政实力。</w:t>
      </w:r>
    </w:p>
    <w:p>
      <w:pPr>
        <w:keepNext w:val="0"/>
        <w:keepLines w:val="0"/>
        <w:widowControl w:val="0"/>
        <w:suppressLineNumbers w:val="0"/>
        <w:autoSpaceDE w:val="0"/>
        <w:autoSpaceDN/>
        <w:spacing w:line="596" w:lineRule="exact"/>
        <w:ind w:left="0"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5.</w:t>
      </w:r>
      <w:r>
        <w:rPr>
          <w:rFonts w:hint="eastAsia" w:ascii="方正仿宋_GBK" w:hAnsi="方正仿宋_GBK" w:eastAsia="方正仿宋_GBK" w:cs="方正仿宋_GBK"/>
          <w:kern w:val="0"/>
          <w:sz w:val="32"/>
          <w:szCs w:val="32"/>
          <w:shd w:val="clear" w:fill="FFFFFF"/>
        </w:rPr>
        <w:t>抓好精神文明建设，丰富群众文化生活，提倡移风易俗反对封建迷信，破除陈规陋习，树立社会主义新风尚。</w:t>
      </w:r>
    </w:p>
    <w:p>
      <w:pPr>
        <w:keepNext w:val="0"/>
        <w:keepLines w:val="0"/>
        <w:widowControl w:val="0"/>
        <w:suppressLineNumbers w:val="0"/>
        <w:autoSpaceDE w:val="0"/>
        <w:autoSpaceDN/>
        <w:spacing w:line="596" w:lineRule="exact"/>
        <w:ind w:left="0"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6.</w:t>
      </w:r>
      <w:r>
        <w:rPr>
          <w:rFonts w:hint="eastAsia" w:ascii="方正仿宋_GBK" w:hAnsi="方正仿宋_GBK" w:eastAsia="方正仿宋_GBK" w:cs="方正仿宋_GBK"/>
          <w:kern w:val="0"/>
          <w:sz w:val="32"/>
          <w:szCs w:val="32"/>
          <w:shd w:val="clear" w:fill="FFFFFF"/>
        </w:rPr>
        <w:t>完成上级政府交办的其它事项。</w:t>
      </w:r>
    </w:p>
    <w:p>
      <w:pPr>
        <w:keepNext w:val="0"/>
        <w:keepLines w:val="0"/>
        <w:widowControl w:val="0"/>
        <w:suppressLineNumbers w:val="0"/>
        <w:autoSpaceDE w:val="0"/>
        <w:autoSpaceDN/>
        <w:spacing w:line="596" w:lineRule="exact"/>
        <w:ind w:left="0" w:firstLine="640" w:firstLineChars="200"/>
        <w:jc w:val="both"/>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政府职责：</w:t>
      </w:r>
    </w:p>
    <w:p>
      <w:pPr>
        <w:keepNext w:val="0"/>
        <w:keepLines w:val="0"/>
        <w:widowControl w:val="0"/>
        <w:suppressLineNumbers w:val="0"/>
        <w:autoSpaceDE w:val="0"/>
        <w:autoSpaceDN/>
        <w:spacing w:line="596" w:lineRule="exact"/>
        <w:ind w:left="0"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1.</w:t>
      </w:r>
      <w:r>
        <w:rPr>
          <w:rFonts w:hint="eastAsia" w:ascii="方正仿宋_GBK" w:hAnsi="方正仿宋_GBK" w:eastAsia="方正仿宋_GBK" w:cs="方正仿宋_GBK"/>
          <w:kern w:val="0"/>
          <w:sz w:val="32"/>
          <w:szCs w:val="32"/>
          <w:shd w:val="clear" w:fill="FFFFFF"/>
        </w:rPr>
        <w:t>执行本级人民代表大会的决议和上级国家行政机关的决定。</w:t>
      </w:r>
    </w:p>
    <w:p>
      <w:pPr>
        <w:keepNext w:val="0"/>
        <w:keepLines w:val="0"/>
        <w:widowControl w:val="0"/>
        <w:suppressLineNumbers w:val="0"/>
        <w:autoSpaceDE w:val="0"/>
        <w:autoSpaceDN/>
        <w:spacing w:line="596" w:lineRule="exact"/>
        <w:ind w:left="0"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w:t>
      </w:r>
      <w:r>
        <w:rPr>
          <w:rFonts w:hint="eastAsia" w:ascii="方正仿宋_GBK" w:hAnsi="方正仿宋_GBK" w:eastAsia="方正仿宋_GBK" w:cs="方正仿宋_GBK"/>
          <w:kern w:val="0"/>
          <w:sz w:val="32"/>
          <w:szCs w:val="32"/>
          <w:shd w:val="clear" w:fill="FFFFFF"/>
        </w:rPr>
        <w:t>执行本行政区域内的经济和社会发展计划、预算，管理本行政区域内的经济、教育、科学、文化、卫生、体育事业和财政、民政、公安、司法行政、计划生育等行政工作。</w:t>
      </w:r>
    </w:p>
    <w:p>
      <w:pPr>
        <w:keepNext w:val="0"/>
        <w:keepLines w:val="0"/>
        <w:widowControl w:val="0"/>
        <w:suppressLineNumbers w:val="0"/>
        <w:autoSpaceDE w:val="0"/>
        <w:autoSpaceDN/>
        <w:spacing w:line="596" w:lineRule="exact"/>
        <w:ind w:left="0"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3.</w:t>
      </w:r>
      <w:r>
        <w:rPr>
          <w:rFonts w:hint="eastAsia" w:ascii="方正仿宋_GBK" w:hAnsi="方正仿宋_GBK" w:eastAsia="方正仿宋_GBK" w:cs="方正仿宋_GBK"/>
          <w:kern w:val="0"/>
          <w:sz w:val="32"/>
          <w:szCs w:val="32"/>
          <w:shd w:val="clear" w:fill="FFFFFF"/>
        </w:rPr>
        <w:t>保护社会主义的全民所有的财产和劳动群众集体所有财产，保护公民私有的合法财产，维护社会秩序，保障公民的人身权利、民主权利和其他权利。</w:t>
      </w:r>
    </w:p>
    <w:p>
      <w:pPr>
        <w:keepNext w:val="0"/>
        <w:keepLines w:val="0"/>
        <w:widowControl w:val="0"/>
        <w:suppressLineNumbers w:val="0"/>
        <w:autoSpaceDE w:val="0"/>
        <w:autoSpaceDN/>
        <w:spacing w:line="596" w:lineRule="exact"/>
        <w:ind w:left="0"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4.</w:t>
      </w:r>
      <w:r>
        <w:rPr>
          <w:rFonts w:hint="eastAsia" w:ascii="方正仿宋_GBK" w:hAnsi="方正仿宋_GBK" w:eastAsia="方正仿宋_GBK" w:cs="方正仿宋_GBK"/>
          <w:kern w:val="0"/>
          <w:sz w:val="32"/>
          <w:szCs w:val="32"/>
          <w:shd w:val="clear" w:fill="FFFFFF"/>
        </w:rPr>
        <w:t>保障农村集体经济组织应有的自主权。</w:t>
      </w:r>
    </w:p>
    <w:p>
      <w:pPr>
        <w:keepNext w:val="0"/>
        <w:keepLines w:val="0"/>
        <w:widowControl w:val="0"/>
        <w:suppressLineNumbers w:val="0"/>
        <w:autoSpaceDE w:val="0"/>
        <w:autoSpaceDN/>
        <w:spacing w:line="596" w:lineRule="exact"/>
        <w:ind w:left="0"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5.</w:t>
      </w:r>
      <w:r>
        <w:rPr>
          <w:rFonts w:hint="eastAsia" w:ascii="方正仿宋_GBK" w:hAnsi="方正仿宋_GBK" w:eastAsia="方正仿宋_GBK" w:cs="方正仿宋_GBK"/>
          <w:kern w:val="0"/>
          <w:sz w:val="32"/>
          <w:szCs w:val="32"/>
          <w:shd w:val="clear" w:fill="FFFFFF"/>
        </w:rPr>
        <w:t>保障少数民族的权利和尊重少数民族的风俗习惯。</w:t>
      </w:r>
    </w:p>
    <w:p>
      <w:pPr>
        <w:keepNext w:val="0"/>
        <w:keepLines w:val="0"/>
        <w:widowControl w:val="0"/>
        <w:suppressLineNumbers w:val="0"/>
        <w:autoSpaceDE w:val="0"/>
        <w:autoSpaceDN/>
        <w:spacing w:line="596" w:lineRule="exact"/>
        <w:ind w:left="0"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6.</w:t>
      </w:r>
      <w:r>
        <w:rPr>
          <w:rFonts w:hint="eastAsia" w:ascii="方正仿宋_GBK" w:hAnsi="方正仿宋_GBK" w:eastAsia="方正仿宋_GBK" w:cs="方正仿宋_GBK"/>
          <w:kern w:val="0"/>
          <w:sz w:val="32"/>
          <w:szCs w:val="32"/>
          <w:shd w:val="clear" w:fill="FFFFFF"/>
        </w:rPr>
        <w:t>保障宪法和法律赋予妇女的男女平等、同工同酬和婚姻自由等各项权利。</w:t>
      </w:r>
    </w:p>
    <w:p>
      <w:pPr>
        <w:keepNext w:val="0"/>
        <w:keepLines w:val="0"/>
        <w:widowControl w:val="0"/>
        <w:suppressLineNumbers w:val="0"/>
        <w:autoSpaceDE w:val="0"/>
        <w:autoSpaceDN/>
        <w:spacing w:line="596" w:lineRule="exact"/>
        <w:ind w:left="0"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7.</w:t>
      </w:r>
      <w:r>
        <w:rPr>
          <w:rFonts w:hint="eastAsia" w:ascii="方正仿宋_GBK" w:hAnsi="方正仿宋_GBK" w:eastAsia="方正仿宋_GBK" w:cs="方正仿宋_GBK"/>
          <w:kern w:val="0"/>
          <w:sz w:val="32"/>
          <w:szCs w:val="32"/>
          <w:shd w:val="clear" w:fill="FFFFFF"/>
        </w:rPr>
        <w:t>办理上级人民政府交办的其它事项。</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16"/>
        <w:keepNext w:val="0"/>
        <w:keepLines w:val="0"/>
        <w:widowControl/>
        <w:suppressLineNumbers w:val="0"/>
        <w:autoSpaceDE w:val="0"/>
        <w:autoSpaceDN/>
        <w:spacing w:before="0" w:beforeAutospacing="0" w:line="596" w:lineRule="exact"/>
        <w:ind w:left="0" w:firstLine="640" w:firstLineChars="200"/>
        <w:jc w:val="both"/>
        <w:rPr>
          <w:rFonts w:hint="eastAsia" w:ascii="方正仿宋_GBK" w:hAnsi="方正仿宋_GBK" w:eastAsia="方正仿宋_GBK" w:cs="方正仿宋_GBK"/>
          <w:kern w:val="0"/>
          <w:sz w:val="32"/>
          <w:szCs w:val="32"/>
          <w:shd w:val="clear" w:fill="FFFFFF"/>
        </w:rPr>
      </w:pPr>
      <w:r>
        <w:rPr>
          <w:rStyle w:val="17"/>
          <w:rFonts w:hint="eastAsia" w:ascii="方正仿宋_GBK" w:hAnsi="方正仿宋_GBK" w:eastAsia="方正仿宋_GBK" w:cs="方正仿宋_GBK"/>
          <w:b w:val="0"/>
          <w:sz w:val="32"/>
          <w:szCs w:val="32"/>
          <w:shd w:val="clear" w:fill="FFFFFF"/>
        </w:rPr>
        <w:t>尖山镇人民政府现有</w:t>
      </w:r>
      <w:r>
        <w:rPr>
          <w:rStyle w:val="17"/>
          <w:rFonts w:hint="default" w:ascii="Times New Roman" w:hAnsi="Times New Roman" w:eastAsia="方正仿宋_GBK" w:cs="Times New Roman"/>
          <w:b w:val="0"/>
          <w:sz w:val="32"/>
          <w:szCs w:val="32"/>
          <w:shd w:val="clear" w:fill="FFFFFF"/>
        </w:rPr>
        <w:t>2</w:t>
      </w:r>
      <w:r>
        <w:rPr>
          <w:rStyle w:val="17"/>
          <w:rFonts w:hint="eastAsia" w:ascii="方正仿宋_GBK" w:hAnsi="方正仿宋_GBK" w:eastAsia="方正仿宋_GBK" w:cs="方正仿宋_GBK"/>
          <w:b w:val="0"/>
          <w:sz w:val="32"/>
          <w:szCs w:val="32"/>
          <w:shd w:val="clear" w:fill="FFFFFF"/>
        </w:rPr>
        <w:t>个独立核算单位，机关内设</w:t>
      </w:r>
      <w:r>
        <w:rPr>
          <w:rFonts w:hint="eastAsia" w:ascii="方正仿宋_GBK" w:hAnsi="方正仿宋_GBK" w:eastAsia="方正仿宋_GBK" w:cs="方正仿宋_GBK"/>
          <w:b w:val="0"/>
          <w:kern w:val="0"/>
          <w:sz w:val="32"/>
          <w:szCs w:val="32"/>
          <w:shd w:val="clear" w:fill="FFFFFF"/>
        </w:rPr>
        <w:t>党政（人大）、</w:t>
      </w:r>
      <w:r>
        <w:rPr>
          <w:rFonts w:hint="eastAsia" w:ascii="方正仿宋_GBK" w:hAnsi="方正仿宋_GBK" w:eastAsia="方正仿宋_GBK" w:cs="方正仿宋_GBK"/>
          <w:kern w:val="0"/>
          <w:sz w:val="32"/>
          <w:szCs w:val="32"/>
          <w:shd w:val="clear" w:fill="FFFFFF"/>
        </w:rPr>
        <w:t>党群、经济发展、民政和社会事务、平安建设、规划建设管理环保、财政、应急管理、乡村振兴、卫生健康</w:t>
      </w:r>
      <w:r>
        <w:rPr>
          <w:rFonts w:hint="default" w:ascii="Times New Roman" w:hAnsi="Times New Roman" w:eastAsia="方正仿宋_GBK" w:cs="Times New Roman"/>
          <w:kern w:val="0"/>
          <w:sz w:val="32"/>
          <w:szCs w:val="32"/>
          <w:shd w:val="clear" w:fill="FFFFFF"/>
        </w:rPr>
        <w:t>10</w:t>
      </w:r>
      <w:r>
        <w:rPr>
          <w:rFonts w:hint="eastAsia" w:ascii="方正仿宋_GBK" w:hAnsi="方正仿宋_GBK" w:eastAsia="方正仿宋_GBK" w:cs="方正仿宋_GBK"/>
          <w:kern w:val="0"/>
          <w:sz w:val="32"/>
          <w:szCs w:val="32"/>
          <w:shd w:val="clear" w:fill="FFFFFF"/>
        </w:rPr>
        <w:t>个办公室；农业服务中心、文化服务中心、劳动就业和社会保障服务所、退役军人服务站、综合行政执法大队</w:t>
      </w:r>
      <w:r>
        <w:rPr>
          <w:rFonts w:hint="default" w:ascii="Times New Roman" w:hAnsi="Times New Roman" w:eastAsia="方正仿宋_GBK" w:cs="Times New Roman"/>
          <w:kern w:val="0"/>
          <w:sz w:val="32"/>
          <w:szCs w:val="32"/>
          <w:shd w:val="clear" w:fill="FFFFFF"/>
        </w:rPr>
        <w:t>5</w:t>
      </w:r>
      <w:r>
        <w:rPr>
          <w:rFonts w:hint="eastAsia" w:ascii="方正仿宋_GBK" w:hAnsi="方正仿宋_GBK" w:eastAsia="方正仿宋_GBK" w:cs="方正仿宋_GBK"/>
          <w:kern w:val="0"/>
          <w:sz w:val="32"/>
          <w:szCs w:val="32"/>
          <w:shd w:val="clear" w:fill="FFFFFF"/>
        </w:rPr>
        <w:t>个事业站（所）。</w:t>
      </w:r>
    </w:p>
    <w:p>
      <w:pPr>
        <w:keepNext w:val="0"/>
        <w:keepLines w:val="0"/>
        <w:widowControl w:val="0"/>
        <w:suppressLineNumbers w:val="0"/>
        <w:autoSpaceDE w:val="0"/>
        <w:autoSpaceDN/>
        <w:spacing w:line="596" w:lineRule="exact"/>
        <w:ind w:left="0" w:firstLine="640" w:firstLineChars="200"/>
        <w:jc w:val="both"/>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年末机构编制单位</w:t>
      </w:r>
      <w:r>
        <w:rPr>
          <w:rFonts w:hint="default" w:ascii="Times New Roman" w:hAnsi="Times New Roman" w:eastAsia="方正仿宋_GBK" w:cs="Times New Roman"/>
          <w:kern w:val="0"/>
          <w:sz w:val="32"/>
          <w:szCs w:val="32"/>
          <w:shd w:val="clear" w:fill="FFFFFF"/>
        </w:rPr>
        <w:t>6</w:t>
      </w:r>
      <w:r>
        <w:rPr>
          <w:rFonts w:hint="eastAsia" w:ascii="方正仿宋_GBK" w:hAnsi="方正仿宋_GBK" w:eastAsia="方正仿宋_GBK" w:cs="方正仿宋_GBK"/>
          <w:kern w:val="0"/>
          <w:sz w:val="32"/>
          <w:szCs w:val="32"/>
          <w:shd w:val="clear" w:fill="FFFFFF"/>
        </w:rPr>
        <w:t>个，独立核算单位</w:t>
      </w:r>
      <w:r>
        <w:rPr>
          <w:rFonts w:hint="default" w:ascii="Times New Roman" w:hAnsi="Times New Roman" w:eastAsia="方正仿宋_GBK" w:cs="Times New Roman"/>
          <w:kern w:val="0"/>
          <w:sz w:val="32"/>
          <w:szCs w:val="32"/>
          <w:shd w:val="clear" w:fill="FFFFFF"/>
        </w:rPr>
        <w:t>2</w:t>
      </w:r>
      <w:r>
        <w:rPr>
          <w:rFonts w:hint="eastAsia" w:ascii="方正仿宋_GBK" w:hAnsi="方正仿宋_GBK" w:eastAsia="方正仿宋_GBK" w:cs="方正仿宋_GBK"/>
          <w:kern w:val="0"/>
          <w:sz w:val="32"/>
          <w:szCs w:val="32"/>
          <w:shd w:val="clear" w:fill="FFFFFF"/>
        </w:rPr>
        <w:t>个。单位年末编制：行政编制</w:t>
      </w:r>
      <w:r>
        <w:rPr>
          <w:rFonts w:hint="default" w:ascii="Times New Roman" w:hAnsi="Times New Roman" w:eastAsia="方正仿宋_GBK" w:cs="Times New Roman"/>
          <w:kern w:val="0"/>
          <w:sz w:val="32"/>
          <w:szCs w:val="32"/>
          <w:shd w:val="clear" w:fill="FFFFFF"/>
        </w:rPr>
        <w:t>28</w:t>
      </w:r>
      <w:r>
        <w:rPr>
          <w:rFonts w:hint="eastAsia" w:ascii="方正仿宋_GBK" w:hAnsi="方正仿宋_GBK" w:eastAsia="方正仿宋_GBK" w:cs="方正仿宋_GBK"/>
          <w:kern w:val="0"/>
          <w:sz w:val="32"/>
          <w:szCs w:val="32"/>
          <w:shd w:val="clear" w:fill="FFFFFF"/>
        </w:rPr>
        <w:t>人，事业编制</w:t>
      </w:r>
      <w:r>
        <w:rPr>
          <w:rFonts w:hint="default" w:ascii="Times New Roman" w:hAnsi="Times New Roman" w:eastAsia="方正仿宋_GBK" w:cs="Times New Roman"/>
          <w:kern w:val="0"/>
          <w:sz w:val="32"/>
          <w:szCs w:val="32"/>
          <w:shd w:val="clear" w:fill="FFFFFF"/>
        </w:rPr>
        <w:t>19</w:t>
      </w:r>
      <w:r>
        <w:rPr>
          <w:rFonts w:hint="eastAsia" w:ascii="方正仿宋_GBK" w:hAnsi="方正仿宋_GBK" w:eastAsia="方正仿宋_GBK" w:cs="方正仿宋_GBK"/>
          <w:kern w:val="0"/>
          <w:sz w:val="32"/>
          <w:szCs w:val="32"/>
          <w:shd w:val="clear" w:fill="FFFFFF"/>
        </w:rPr>
        <w:t>人，总编制数</w:t>
      </w:r>
      <w:r>
        <w:rPr>
          <w:rFonts w:hint="default" w:ascii="Times New Roman" w:hAnsi="Times New Roman" w:eastAsia="方正仿宋_GBK" w:cs="Times New Roman"/>
          <w:kern w:val="0"/>
          <w:sz w:val="32"/>
          <w:szCs w:val="32"/>
          <w:shd w:val="clear" w:fill="FFFFFF"/>
        </w:rPr>
        <w:t>47</w:t>
      </w:r>
      <w:r>
        <w:rPr>
          <w:rFonts w:hint="eastAsia" w:ascii="方正仿宋_GBK" w:hAnsi="方正仿宋_GBK" w:eastAsia="方正仿宋_GBK" w:cs="方正仿宋_GBK"/>
          <w:kern w:val="0"/>
          <w:sz w:val="32"/>
          <w:szCs w:val="32"/>
          <w:shd w:val="clear" w:fill="FFFFFF"/>
        </w:rPr>
        <w:t>人。实有在岗人员</w:t>
      </w:r>
      <w:r>
        <w:rPr>
          <w:rFonts w:hint="eastAsia" w:ascii="Times New Roman" w:hAnsi="Times New Roman" w:eastAsia="方正仿宋_GBK" w:cs="Times New Roman"/>
          <w:kern w:val="0"/>
          <w:sz w:val="32"/>
          <w:szCs w:val="32"/>
          <w:shd w:val="clear" w:fill="FFFFFF"/>
          <w:lang w:val="en-US" w:eastAsia="zh-CN"/>
        </w:rPr>
        <w:t>39</w:t>
      </w:r>
      <w:r>
        <w:rPr>
          <w:rFonts w:hint="eastAsia" w:ascii="方正仿宋_GBK" w:hAnsi="方正仿宋_GBK" w:eastAsia="方正仿宋_GBK" w:cs="方正仿宋_GBK"/>
          <w:kern w:val="0"/>
          <w:sz w:val="32"/>
          <w:szCs w:val="32"/>
          <w:shd w:val="clear" w:fill="FFFFFF"/>
        </w:rPr>
        <w:t>人，其中：行政</w:t>
      </w:r>
      <w:r>
        <w:rPr>
          <w:rFonts w:hint="eastAsia" w:ascii="Times New Roman" w:hAnsi="Times New Roman" w:eastAsia="方正仿宋_GBK" w:cs="Times New Roman"/>
          <w:kern w:val="0"/>
          <w:sz w:val="32"/>
          <w:szCs w:val="32"/>
          <w:shd w:val="clear" w:fill="FFFFFF"/>
          <w:lang w:val="en-US" w:eastAsia="zh-CN"/>
        </w:rPr>
        <w:t>22</w:t>
      </w:r>
      <w:r>
        <w:rPr>
          <w:rFonts w:hint="eastAsia" w:ascii="方正仿宋_GBK" w:hAnsi="方正仿宋_GBK" w:eastAsia="方正仿宋_GBK" w:cs="方正仿宋_GBK"/>
          <w:kern w:val="0"/>
          <w:sz w:val="32"/>
          <w:szCs w:val="32"/>
          <w:shd w:val="clear" w:fill="FFFFFF"/>
        </w:rPr>
        <w:t>人，事业</w:t>
      </w:r>
      <w:r>
        <w:rPr>
          <w:rFonts w:hint="default" w:ascii="Times New Roman" w:hAnsi="Times New Roman" w:eastAsia="方正仿宋_GBK" w:cs="Times New Roman"/>
          <w:kern w:val="0"/>
          <w:sz w:val="32"/>
          <w:szCs w:val="32"/>
          <w:shd w:val="clear" w:fill="FFFFFF"/>
        </w:rPr>
        <w:t>1</w:t>
      </w:r>
      <w:r>
        <w:rPr>
          <w:rFonts w:hint="eastAsia" w:ascii="Times New Roman" w:hAnsi="Times New Roman" w:eastAsia="方正仿宋_GBK" w:cs="Times New Roman"/>
          <w:kern w:val="0"/>
          <w:sz w:val="32"/>
          <w:szCs w:val="32"/>
          <w:shd w:val="clear" w:fill="FFFFFF"/>
          <w:lang w:val="en-US" w:eastAsia="zh-CN"/>
        </w:rPr>
        <w:t>7</w:t>
      </w:r>
      <w:r>
        <w:rPr>
          <w:rFonts w:hint="eastAsia" w:ascii="方正仿宋_GBK" w:hAnsi="方正仿宋_GBK" w:eastAsia="方正仿宋_GBK" w:cs="方正仿宋_GBK"/>
          <w:kern w:val="0"/>
          <w:sz w:val="32"/>
          <w:szCs w:val="32"/>
          <w:shd w:val="clear" w:fill="FFFFFF"/>
        </w:rPr>
        <w:t>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2023年度收入总计4361.6万元，支出总计</w:t>
      </w:r>
      <w:r>
        <w:rPr>
          <w:rFonts w:ascii="方正仿宋_GBK" w:hAnsi="方正仿宋_GBK" w:eastAsia="方正仿宋_GBK" w:cs="方正仿宋_GBK"/>
          <w:sz w:val="32"/>
          <w:szCs w:val="32"/>
        </w:rPr>
        <w:t>4361.6</w:t>
      </w:r>
      <w:r>
        <w:rPr>
          <w:rFonts w:ascii="方正仿宋_GBK" w:hAnsi="方正仿宋_GBK" w:eastAsia="方正仿宋_GBK" w:cs="方正仿宋_GBK"/>
          <w:sz w:val="32"/>
          <w:szCs w:val="32"/>
          <w:shd w:val="clear" w:color="auto" w:fill="FFFFFF"/>
        </w:rPr>
        <w:t>万元。收支较上年决算数增加1167.42万元，增长36.</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%，主要原因是</w:t>
      </w:r>
      <w:r>
        <w:rPr>
          <w:rFonts w:hint="eastAsia" w:ascii="仿宋_GB2312" w:hAnsi="仿宋" w:eastAsia="仿宋_GB2312"/>
          <w:sz w:val="32"/>
          <w:szCs w:val="32"/>
          <w:lang w:val="en-US" w:eastAsia="zh-CN"/>
        </w:rPr>
        <w:t>2023</w:t>
      </w:r>
      <w:r>
        <w:rPr>
          <w:rFonts w:hint="eastAsia" w:ascii="仿宋_GB2312" w:hAnsi="仿宋" w:eastAsia="仿宋_GB2312"/>
          <w:sz w:val="32"/>
          <w:szCs w:val="32"/>
        </w:rPr>
        <w:t>年度各类项目资金较上年增加约1217.24万元。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2023年度收入合计4361.6万元，较上年决算数增加1168.59万元，增长36.6%，主要原因是</w:t>
      </w:r>
      <w:r>
        <w:rPr>
          <w:rFonts w:hint="eastAsia" w:ascii="仿宋_GB2312" w:hAnsi="仿宋" w:eastAsia="仿宋_GB2312"/>
          <w:sz w:val="32"/>
          <w:szCs w:val="32"/>
          <w:lang w:val="en-US" w:eastAsia="zh-CN"/>
        </w:rPr>
        <w:t>2023</w:t>
      </w:r>
      <w:r>
        <w:rPr>
          <w:rFonts w:hint="eastAsia" w:ascii="仿宋_GB2312" w:hAnsi="仿宋" w:eastAsia="仿宋_GB2312"/>
          <w:sz w:val="32"/>
          <w:szCs w:val="32"/>
        </w:rPr>
        <w:t>年度各类项目资金较上年增加约1217.24万元。</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4361.6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万元，占0.0%；经营收入</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万元，占0.0%；其他收入</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万元，占0.0%。此外，使用非财政拨款结余和专用结余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4361.6</w:t>
      </w:r>
      <w:r>
        <w:rPr>
          <w:rFonts w:ascii="方正仿宋_GBK" w:hAnsi="方正仿宋_GBK" w:eastAsia="方正仿宋_GBK" w:cs="方正仿宋_GBK"/>
          <w:sz w:val="32"/>
          <w:szCs w:val="32"/>
          <w:shd w:val="clear" w:color="auto" w:fill="FFFFFF"/>
        </w:rPr>
        <w:t>万元，较上年决算数增加1167.42万元，增长36.</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%，主要原因是</w:t>
      </w:r>
      <w:r>
        <w:rPr>
          <w:rFonts w:hint="eastAsia" w:ascii="仿宋_GB2312" w:hAnsi="仿宋" w:eastAsia="仿宋_GB2312"/>
          <w:sz w:val="32"/>
          <w:szCs w:val="32"/>
          <w:lang w:val="en-US" w:eastAsia="zh-CN"/>
        </w:rPr>
        <w:t>2023</w:t>
      </w:r>
      <w:r>
        <w:rPr>
          <w:rFonts w:hint="eastAsia" w:ascii="仿宋_GB2312" w:hAnsi="仿宋" w:eastAsia="仿宋_GB2312"/>
          <w:sz w:val="32"/>
          <w:szCs w:val="32"/>
        </w:rPr>
        <w:t>年度各类项目资金</w:t>
      </w:r>
      <w:r>
        <w:rPr>
          <w:rFonts w:hint="eastAsia" w:ascii="仿宋_GB2312" w:hAnsi="仿宋" w:eastAsia="仿宋_GB2312"/>
          <w:sz w:val="32"/>
          <w:szCs w:val="32"/>
          <w:lang w:val="en-US" w:eastAsia="zh-CN"/>
        </w:rPr>
        <w:t>支出</w:t>
      </w:r>
      <w:r>
        <w:rPr>
          <w:rFonts w:hint="eastAsia" w:ascii="仿宋_GB2312" w:hAnsi="仿宋" w:eastAsia="仿宋_GB2312"/>
          <w:sz w:val="32"/>
          <w:szCs w:val="32"/>
        </w:rPr>
        <w:t>较上年增加约1217.24万元。</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953.92</w:t>
      </w:r>
      <w:r>
        <w:rPr>
          <w:rFonts w:ascii="方正仿宋_GBK" w:hAnsi="方正仿宋_GBK" w:eastAsia="方正仿宋_GBK" w:cs="方正仿宋_GBK"/>
          <w:sz w:val="32"/>
          <w:szCs w:val="32"/>
          <w:shd w:val="clear" w:color="auto" w:fill="FFFFFF"/>
        </w:rPr>
        <w:t>万元，占21.</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%；项目支出</w:t>
      </w:r>
      <w:r>
        <w:rPr>
          <w:rFonts w:ascii="方正仿宋_GBK" w:hAnsi="方正仿宋_GBK" w:eastAsia="方正仿宋_GBK" w:cs="方正仿宋_GBK"/>
          <w:sz w:val="32"/>
          <w:szCs w:val="32"/>
        </w:rPr>
        <w:t>3407.68</w:t>
      </w:r>
      <w:r>
        <w:rPr>
          <w:rFonts w:ascii="方正仿宋_GBK" w:hAnsi="方正仿宋_GBK" w:eastAsia="方正仿宋_GBK" w:cs="方正仿宋_GBK"/>
          <w:sz w:val="32"/>
          <w:szCs w:val="32"/>
          <w:shd w:val="clear" w:color="auto" w:fill="FFFFFF"/>
        </w:rPr>
        <w:t>万元，占78.1%；经营支出</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万元，占0.0%。此外，结余分配</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w:t>
      </w:r>
      <w:r>
        <w:rPr>
          <w:rFonts w:hint="eastAsia" w:ascii="方正仿宋_GBK" w:hAnsi="方正仿宋_GBK" w:eastAsia="方正仿宋_GBK" w:cs="方正仿宋_GBK"/>
          <w:sz w:val="32"/>
          <w:szCs w:val="32"/>
          <w:shd w:val="clear" w:color="auto" w:fill="FFFFFF"/>
          <w:lang w:val="en-US" w:eastAsia="zh-CN"/>
        </w:rPr>
        <w:t>入</w:t>
      </w:r>
      <w:r>
        <w:rPr>
          <w:rFonts w:ascii="方正仿宋_GBK" w:hAnsi="方正仿宋_GBK" w:eastAsia="方正仿宋_GBK" w:cs="方正仿宋_GBK"/>
          <w:sz w:val="32"/>
          <w:szCs w:val="32"/>
          <w:shd w:val="clear" w:color="auto" w:fill="FFFFFF"/>
        </w:rPr>
        <w:t>4361.6万元、支</w:t>
      </w:r>
      <w:r>
        <w:rPr>
          <w:rFonts w:hint="eastAsia" w:ascii="方正仿宋_GBK" w:hAnsi="方正仿宋_GBK" w:eastAsia="方正仿宋_GBK" w:cs="方正仿宋_GBK"/>
          <w:sz w:val="32"/>
          <w:szCs w:val="32"/>
          <w:shd w:val="clear" w:color="auto" w:fill="FFFFFF"/>
          <w:lang w:val="en-US" w:eastAsia="zh-CN"/>
        </w:rPr>
        <w:t>出</w:t>
      </w:r>
      <w:r>
        <w:rPr>
          <w:rFonts w:ascii="方正仿宋_GBK" w:hAnsi="方正仿宋_GBK" w:eastAsia="方正仿宋_GBK" w:cs="方正仿宋_GBK"/>
          <w:sz w:val="32"/>
          <w:szCs w:val="32"/>
          <w:shd w:val="clear" w:color="auto" w:fill="FFFFFF"/>
        </w:rPr>
        <w:t>4361.6万元。与2022年相比，财政拨款收、支总计各增加1167.42万元，增长36.</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%。主要原因是</w:t>
      </w:r>
      <w:r>
        <w:rPr>
          <w:rFonts w:hint="eastAsia" w:ascii="仿宋_GB2312" w:hAnsi="仿宋" w:eastAsia="仿宋_GB2312"/>
          <w:sz w:val="32"/>
          <w:szCs w:val="32"/>
          <w:lang w:val="en-US" w:eastAsia="zh-CN"/>
        </w:rPr>
        <w:t>2023</w:t>
      </w:r>
      <w:r>
        <w:rPr>
          <w:rFonts w:hint="eastAsia" w:ascii="仿宋_GB2312" w:hAnsi="仿宋" w:eastAsia="仿宋_GB2312"/>
          <w:sz w:val="32"/>
          <w:szCs w:val="32"/>
        </w:rPr>
        <w:t>年度各类项目资金</w:t>
      </w:r>
      <w:r>
        <w:rPr>
          <w:rFonts w:hint="eastAsia" w:ascii="仿宋_GB2312" w:hAnsi="仿宋" w:eastAsia="仿宋_GB2312"/>
          <w:sz w:val="32"/>
          <w:szCs w:val="32"/>
          <w:lang w:val="en-US" w:eastAsia="zh-CN"/>
        </w:rPr>
        <w:t>收、支出</w:t>
      </w:r>
      <w:r>
        <w:rPr>
          <w:rFonts w:hint="eastAsia" w:ascii="仿宋_GB2312" w:hAnsi="仿宋" w:eastAsia="仿宋_GB2312"/>
          <w:sz w:val="32"/>
          <w:szCs w:val="32"/>
        </w:rPr>
        <w:t>较上年增加约1217.24万元。</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4361.6</w:t>
      </w:r>
      <w:r>
        <w:rPr>
          <w:rFonts w:ascii="方正仿宋_GBK" w:hAnsi="方正仿宋_GBK" w:eastAsia="方正仿宋_GBK" w:cs="方正仿宋_GBK"/>
          <w:sz w:val="32"/>
          <w:szCs w:val="32"/>
          <w:shd w:val="clear" w:color="auto" w:fill="FFFFFF"/>
        </w:rPr>
        <w:t>万元，较上年决算数增加1171.59万元，增长36.7%。主要原因是</w:t>
      </w:r>
      <w:r>
        <w:rPr>
          <w:rFonts w:hint="eastAsia" w:ascii="仿宋_GB2312" w:hAnsi="仿宋" w:eastAsia="仿宋_GB2312"/>
          <w:sz w:val="32"/>
          <w:szCs w:val="32"/>
          <w:lang w:val="en-US" w:eastAsia="zh-CN"/>
        </w:rPr>
        <w:t>2023</w:t>
      </w:r>
      <w:r>
        <w:rPr>
          <w:rFonts w:hint="eastAsia" w:ascii="仿宋_GB2312" w:hAnsi="仿宋" w:eastAsia="仿宋_GB2312"/>
          <w:sz w:val="32"/>
          <w:szCs w:val="32"/>
        </w:rPr>
        <w:t>年度各类项目资金</w:t>
      </w:r>
      <w:r>
        <w:rPr>
          <w:rFonts w:hint="eastAsia" w:ascii="仿宋_GB2312" w:hAnsi="仿宋" w:eastAsia="仿宋_GB2312"/>
          <w:sz w:val="32"/>
          <w:szCs w:val="32"/>
          <w:lang w:val="en-US" w:eastAsia="zh-CN"/>
        </w:rPr>
        <w:t>收入</w:t>
      </w:r>
      <w:r>
        <w:rPr>
          <w:rFonts w:hint="eastAsia" w:ascii="仿宋_GB2312" w:hAnsi="仿宋" w:eastAsia="仿宋_GB2312"/>
          <w:sz w:val="32"/>
          <w:szCs w:val="32"/>
        </w:rPr>
        <w:t>较上年增加约1217.24万元。</w:t>
      </w:r>
      <w:r>
        <w:rPr>
          <w:rFonts w:ascii="方正仿宋_GBK" w:hAnsi="方正仿宋_GBK" w:eastAsia="方正仿宋_GBK" w:cs="方正仿宋_GBK"/>
          <w:sz w:val="32"/>
          <w:szCs w:val="32"/>
          <w:shd w:val="clear" w:color="auto" w:fill="FFFFFF"/>
        </w:rPr>
        <w:t>较年初预算数增加3097.91万元，增长245.</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%。主要原因是</w:t>
      </w:r>
      <w:r>
        <w:rPr>
          <w:rFonts w:hint="eastAsia" w:ascii="仿宋_GB2312" w:hAnsi="仿宋" w:eastAsia="仿宋_GB2312"/>
          <w:sz w:val="32"/>
          <w:szCs w:val="32"/>
        </w:rPr>
        <w:t>年中调整预算，渝财农[2022]155号，渝财农[2022]131号，溪财发[2023]3号，渝财农[2023]45号，渝财农[2023]89号等文件追加预算。</w:t>
      </w:r>
      <w:r>
        <w:rPr>
          <w:rFonts w:ascii="方正仿宋_GBK" w:hAnsi="方正仿宋_GBK" w:eastAsia="方正仿宋_GBK" w:cs="方正仿宋_GBK"/>
          <w:sz w:val="32"/>
          <w:szCs w:val="32"/>
          <w:shd w:val="clear" w:color="auto" w:fill="FFFFFF"/>
        </w:rPr>
        <w:t>此外，年初财政拨款结转和结余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4361.6</w:t>
      </w:r>
      <w:r>
        <w:rPr>
          <w:rFonts w:ascii="方正仿宋_GBK" w:hAnsi="方正仿宋_GBK" w:eastAsia="方正仿宋_GBK" w:cs="方正仿宋_GBK"/>
          <w:sz w:val="32"/>
          <w:szCs w:val="32"/>
          <w:shd w:val="clear" w:color="auto" w:fill="FFFFFF"/>
        </w:rPr>
        <w:t>万元，较上年决算数增加1170.42万元，增长36.</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%。主要原因是</w:t>
      </w:r>
      <w:r>
        <w:rPr>
          <w:rFonts w:hint="eastAsia" w:ascii="仿宋_GB2312" w:hAnsi="仿宋" w:eastAsia="仿宋_GB2312"/>
          <w:sz w:val="32"/>
          <w:szCs w:val="32"/>
          <w:lang w:val="en-US" w:eastAsia="zh-CN"/>
        </w:rPr>
        <w:t>2023</w:t>
      </w:r>
      <w:r>
        <w:rPr>
          <w:rFonts w:hint="eastAsia" w:ascii="仿宋_GB2312" w:hAnsi="仿宋" w:eastAsia="仿宋_GB2312"/>
          <w:sz w:val="32"/>
          <w:szCs w:val="32"/>
        </w:rPr>
        <w:t>年度各类项目资金</w:t>
      </w:r>
      <w:r>
        <w:rPr>
          <w:rFonts w:hint="eastAsia" w:ascii="仿宋_GB2312" w:hAnsi="仿宋" w:eastAsia="仿宋_GB2312"/>
          <w:sz w:val="32"/>
          <w:szCs w:val="32"/>
          <w:lang w:val="en-US" w:eastAsia="zh-CN"/>
        </w:rPr>
        <w:t>支出</w:t>
      </w:r>
      <w:r>
        <w:rPr>
          <w:rFonts w:hint="eastAsia" w:ascii="仿宋_GB2312" w:hAnsi="仿宋" w:eastAsia="仿宋_GB2312"/>
          <w:sz w:val="32"/>
          <w:szCs w:val="32"/>
        </w:rPr>
        <w:t>较上年增加约1217.24万元。</w:t>
      </w:r>
      <w:r>
        <w:rPr>
          <w:rFonts w:ascii="方正仿宋_GBK" w:hAnsi="方正仿宋_GBK" w:eastAsia="方正仿宋_GBK" w:cs="方正仿宋_GBK"/>
          <w:sz w:val="32"/>
          <w:szCs w:val="32"/>
          <w:shd w:val="clear" w:color="auto" w:fill="FFFFFF"/>
        </w:rPr>
        <w:t>较年初预算数增加3097.91万元，增长245.</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%。主要原因是</w:t>
      </w:r>
      <w:r>
        <w:rPr>
          <w:rFonts w:hint="eastAsia" w:ascii="仿宋_GB2312" w:hAnsi="仿宋" w:eastAsia="仿宋_GB2312"/>
          <w:sz w:val="32"/>
          <w:szCs w:val="32"/>
        </w:rPr>
        <w:t>年中调整预算，渝财农[2022]155号，渝财农[2022]131号，溪财发[2023]3号，渝财农[2023]45号，渝财农[2023]89号等文件追加预算。</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694.61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15.9</w:t>
      </w:r>
      <w:r>
        <w:rPr>
          <w:rFonts w:ascii="方正仿宋_GBK" w:hAnsi="方正仿宋_GBK" w:eastAsia="方正仿宋_GBK" w:cs="方正仿宋_GBK"/>
          <w:sz w:val="32"/>
          <w:szCs w:val="32"/>
          <w:shd w:val="clear" w:color="auto" w:fill="FFFFFF"/>
        </w:rPr>
        <w:t>%，较年初预算数增加13.94万元，增长2.</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存在新进公务员，追加了相应的人员经费。</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）科学技术支出</w:t>
      </w:r>
      <w:r>
        <w:rPr>
          <w:rFonts w:ascii="方正仿宋_GBK" w:hAnsi="方正仿宋_GBK" w:eastAsia="方正仿宋_GBK" w:cs="方正仿宋_GBK"/>
          <w:sz w:val="32"/>
          <w:szCs w:val="32"/>
        </w:rPr>
        <w:t>31.53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0.7</w:t>
      </w:r>
      <w:r>
        <w:rPr>
          <w:rFonts w:ascii="方正仿宋_GBK" w:hAnsi="方正仿宋_GBK" w:eastAsia="方正仿宋_GBK" w:cs="方正仿宋_GBK"/>
          <w:sz w:val="32"/>
          <w:szCs w:val="32"/>
          <w:shd w:val="clear" w:color="auto" w:fill="FFFFFF"/>
        </w:rPr>
        <w:t>%，较年初预算数增加31.53万元，增长100.0%，主要原因是</w:t>
      </w:r>
      <w:r>
        <w:rPr>
          <w:rFonts w:hint="eastAsia" w:ascii="方正仿宋_GBK" w:hAnsi="方正仿宋_GBK" w:eastAsia="方正仿宋_GBK" w:cs="方正仿宋_GBK"/>
          <w:sz w:val="32"/>
          <w:szCs w:val="32"/>
          <w:shd w:val="clear" w:color="auto" w:fill="FFFFFF"/>
          <w:lang w:val="en-US" w:eastAsia="zh-CN"/>
        </w:rPr>
        <w:t>年中追加</w:t>
      </w:r>
      <w:r>
        <w:rPr>
          <w:rFonts w:ascii="方正仿宋_GBK" w:hAnsi="方正仿宋_GBK" w:eastAsia="方正仿宋_GBK" w:cs="方正仿宋_GBK"/>
          <w:sz w:val="32"/>
          <w:szCs w:val="32"/>
          <w:shd w:val="clear" w:color="auto" w:fill="FFFFFF"/>
        </w:rPr>
        <w:t>科学技术支出</w:t>
      </w:r>
      <w:r>
        <w:rPr>
          <w:rFonts w:hint="eastAsia" w:ascii="方正仿宋_GBK" w:hAnsi="方正仿宋_GBK" w:eastAsia="方正仿宋_GBK" w:cs="方正仿宋_GBK"/>
          <w:sz w:val="32"/>
          <w:szCs w:val="32"/>
          <w:shd w:val="clear" w:color="auto" w:fill="FFFFFF"/>
          <w:lang w:val="en-US" w:eastAsia="zh-CN"/>
        </w:rPr>
        <w:t>预算项目尖山镇2023年烤烟税收分成、巫溪县尖山镇烟叶基地烤房占地补偿及管护费用共计</w:t>
      </w:r>
      <w:r>
        <w:rPr>
          <w:rFonts w:ascii="方正仿宋_GBK" w:hAnsi="方正仿宋_GBK" w:eastAsia="方正仿宋_GBK" w:cs="方正仿宋_GBK"/>
          <w:sz w:val="32"/>
          <w:szCs w:val="32"/>
          <w:shd w:val="clear" w:color="auto" w:fill="FFFFFF"/>
        </w:rPr>
        <w:t>31.53万元</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20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5</w:t>
      </w:r>
      <w:r>
        <w:rPr>
          <w:rFonts w:ascii="方正仿宋_GBK" w:hAnsi="方正仿宋_GBK" w:eastAsia="方正仿宋_GBK" w:cs="方正仿宋_GBK"/>
          <w:sz w:val="32"/>
          <w:szCs w:val="32"/>
          <w:shd w:val="clear" w:color="auto" w:fill="FFFFFF"/>
        </w:rPr>
        <w:t>%，较年初预算数增加20万元，增长100.0%，主要原因是</w:t>
      </w:r>
      <w:r>
        <w:rPr>
          <w:rFonts w:hint="eastAsia" w:ascii="方正仿宋_GBK" w:hAnsi="方正仿宋_GBK" w:eastAsia="方正仿宋_GBK" w:cs="方正仿宋_GBK"/>
          <w:sz w:val="32"/>
          <w:szCs w:val="32"/>
          <w:shd w:val="clear" w:color="auto" w:fill="FFFFFF"/>
          <w:lang w:val="en-US" w:eastAsia="zh-CN"/>
        </w:rPr>
        <w:t>年中追加</w:t>
      </w:r>
      <w:r>
        <w:rPr>
          <w:rFonts w:ascii="方正仿宋_GBK" w:hAnsi="方正仿宋_GBK" w:eastAsia="方正仿宋_GBK" w:cs="方正仿宋_GBK"/>
          <w:sz w:val="32"/>
          <w:szCs w:val="32"/>
          <w:shd w:val="clear" w:color="auto" w:fill="FFFFFF"/>
        </w:rPr>
        <w:t>文化旅游体育与传媒支出</w:t>
      </w:r>
      <w:r>
        <w:rPr>
          <w:rFonts w:hint="eastAsia" w:ascii="方正仿宋_GBK" w:hAnsi="方正仿宋_GBK" w:eastAsia="方正仿宋_GBK" w:cs="方正仿宋_GBK"/>
          <w:sz w:val="32"/>
          <w:szCs w:val="32"/>
          <w:shd w:val="clear" w:color="auto" w:fill="FFFFFF"/>
          <w:lang w:val="en-US" w:eastAsia="zh-CN"/>
        </w:rPr>
        <w:t>预算项目</w:t>
      </w:r>
      <w:r>
        <w:rPr>
          <w:rFonts w:hint="eastAsia" w:ascii="方正仿宋_GBK" w:hAnsi="方正仿宋_GBK" w:eastAsia="方正仿宋_GBK" w:cs="方正仿宋_GBK"/>
          <w:sz w:val="32"/>
          <w:szCs w:val="32"/>
          <w:shd w:val="clear" w:color="auto" w:fill="FFFFFF"/>
        </w:rPr>
        <w:t>尖山镇室外体育健身场地</w:t>
      </w:r>
      <w:r>
        <w:rPr>
          <w:rFonts w:hint="eastAsia" w:ascii="方正仿宋_GBK" w:hAnsi="方正仿宋_GBK" w:eastAsia="方正仿宋_GBK" w:cs="方正仿宋_GBK"/>
          <w:sz w:val="32"/>
          <w:szCs w:val="32"/>
          <w:shd w:val="clear" w:color="auto" w:fill="FFFFFF"/>
          <w:lang w:val="en-US" w:eastAsia="zh-CN"/>
        </w:rPr>
        <w:t>20万元。</w:t>
      </w:r>
    </w:p>
    <w:p>
      <w:pPr>
        <w:pStyle w:val="16"/>
        <w:keepNext w:val="0"/>
        <w:keepLines w:val="0"/>
        <w:widowControl/>
        <w:suppressLineNumbers w:val="0"/>
        <w:autoSpaceDE w:val="0"/>
        <w:autoSpaceDN/>
        <w:spacing w:before="0" w:beforeAutospacing="0" w:line="596" w:lineRule="exact"/>
        <w:ind w:left="0" w:firstLine="640" w:firstLineChars="200"/>
        <w:jc w:val="both"/>
        <w:rPr>
          <w:rFonts w:hint="eastAsia" w:ascii="方正仿宋_GBK" w:hAnsi="方正仿宋_GBK" w:eastAsia="方正仿宋_GBK" w:cs="方正仿宋_GBK"/>
          <w:kern w:val="0"/>
          <w:sz w:val="32"/>
          <w:szCs w:val="32"/>
          <w:shd w:val="clear"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262.59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%，较年初预算数增加27.25万元，增长11.</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kern w:val="0"/>
          <w:sz w:val="32"/>
          <w:szCs w:val="32"/>
          <w:shd w:val="clear" w:fill="FFFFFF"/>
        </w:rPr>
        <w:t>主要原因：一是年中追加机关事业单位基本养老保险、职业年金政策性补缴资金，二是年中追加</w:t>
      </w:r>
      <w:r>
        <w:rPr>
          <w:rFonts w:hint="eastAsia" w:ascii="方正仿宋_GBK" w:hAnsi="方正仿宋_GBK" w:eastAsia="方正仿宋_GBK" w:cs="方正仿宋_GBK"/>
          <w:kern w:val="0"/>
          <w:sz w:val="32"/>
          <w:szCs w:val="32"/>
          <w:shd w:val="clear" w:fill="FFFFFF"/>
          <w:lang w:val="en-US" w:eastAsia="zh-CN"/>
        </w:rPr>
        <w:t>了</w:t>
      </w:r>
      <w:r>
        <w:rPr>
          <w:rFonts w:hint="eastAsia" w:ascii="方正仿宋_GBK" w:hAnsi="方正仿宋_GBK" w:eastAsia="方正仿宋_GBK" w:cs="方正仿宋_GBK"/>
          <w:kern w:val="0"/>
          <w:sz w:val="32"/>
          <w:szCs w:val="32"/>
          <w:shd w:val="clear" w:fill="FFFFFF"/>
        </w:rPr>
        <w:t>临时救助资金。</w:t>
      </w:r>
    </w:p>
    <w:p>
      <w:pPr>
        <w:pStyle w:val="16"/>
        <w:keepNext w:val="0"/>
        <w:keepLines w:val="0"/>
        <w:widowControl/>
        <w:suppressLineNumbers w:val="0"/>
        <w:autoSpaceDE w:val="0"/>
        <w:autoSpaceDN/>
        <w:spacing w:before="0" w:beforeAutospacing="0" w:line="596" w:lineRule="exact"/>
        <w:ind w:left="0"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34.23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8</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56.48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w:t>
      </w:r>
      <w:r>
        <w:rPr>
          <w:rFonts w:ascii="方正仿宋_GBK" w:hAnsi="方正仿宋_GBK" w:eastAsia="方正仿宋_GBK" w:cs="方正仿宋_GBK"/>
          <w:sz w:val="32"/>
          <w:szCs w:val="32"/>
          <w:shd w:val="clear" w:color="auto" w:fill="FFFFFF"/>
        </w:rPr>
        <w:t>%，较年初预算数增加56.48万元，增长100.0%，主要原因是</w:t>
      </w:r>
      <w:r>
        <w:rPr>
          <w:rFonts w:hint="eastAsia" w:ascii="方正仿宋_GBK" w:hAnsi="方正仿宋_GBK" w:eastAsia="方正仿宋_GBK" w:cs="方正仿宋_GBK"/>
          <w:sz w:val="32"/>
          <w:szCs w:val="32"/>
          <w:shd w:val="clear" w:color="auto" w:fill="FFFFFF"/>
          <w:lang w:val="en-US" w:eastAsia="zh-CN"/>
        </w:rPr>
        <w:t>年中追加</w:t>
      </w:r>
      <w:r>
        <w:rPr>
          <w:rFonts w:hint="eastAsia" w:ascii="方正仿宋_GBK" w:hAnsi="方正仿宋_GBK" w:eastAsia="方正仿宋_GBK" w:cs="方正仿宋_GBK"/>
          <w:sz w:val="32"/>
          <w:szCs w:val="32"/>
          <w:shd w:val="clear" w:color="auto" w:fill="FFFFFF"/>
        </w:rPr>
        <w:t>巫溪县尖山镇2023年生态护林员选聘</w:t>
      </w:r>
      <w:r>
        <w:rPr>
          <w:rFonts w:hint="eastAsia" w:ascii="方正仿宋_GBK" w:hAnsi="方正仿宋_GBK" w:eastAsia="方正仿宋_GBK" w:cs="方正仿宋_GBK"/>
          <w:sz w:val="32"/>
          <w:szCs w:val="32"/>
          <w:shd w:val="clear" w:color="auto" w:fill="FFFFFF"/>
          <w:lang w:val="en-US" w:eastAsia="zh-CN"/>
        </w:rPr>
        <w:t>补助</w:t>
      </w:r>
      <w:r>
        <w:rPr>
          <w:rFonts w:ascii="方正仿宋_GBK" w:hAnsi="方正仿宋_GBK" w:eastAsia="方正仿宋_GBK" w:cs="方正仿宋_GBK"/>
          <w:sz w:val="32"/>
          <w:szCs w:val="32"/>
          <w:shd w:val="clear" w:color="auto" w:fill="FFFFFF"/>
        </w:rPr>
        <w:t>56.48万元</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default" w:ascii="方正仿宋_GBK" w:hAnsi="方正仿宋_GBK" w:eastAsia="仿宋_GB2312"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3166.42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72.6</w:t>
      </w:r>
      <w:r>
        <w:rPr>
          <w:rFonts w:ascii="方正仿宋_GBK" w:hAnsi="方正仿宋_GBK" w:eastAsia="方正仿宋_GBK" w:cs="方正仿宋_GBK"/>
          <w:sz w:val="32"/>
          <w:szCs w:val="32"/>
          <w:shd w:val="clear" w:color="auto" w:fill="FFFFFF"/>
        </w:rPr>
        <w:t>%，较年初预算数增加2911.18万元，增长1140.57%，主要原因是</w:t>
      </w:r>
      <w:r>
        <w:rPr>
          <w:rFonts w:hint="eastAsia" w:ascii="仿宋_GB2312" w:hAnsi="仿宋" w:eastAsia="仿宋_GB2312"/>
          <w:sz w:val="32"/>
          <w:szCs w:val="32"/>
        </w:rPr>
        <w:t>年中</w:t>
      </w:r>
      <w:r>
        <w:rPr>
          <w:rFonts w:hint="eastAsia" w:ascii="仿宋_GB2312" w:hAnsi="仿宋" w:eastAsia="仿宋_GB2312"/>
          <w:sz w:val="32"/>
          <w:szCs w:val="32"/>
          <w:lang w:val="en-US" w:eastAsia="zh-CN"/>
        </w:rPr>
        <w:t>增加</w:t>
      </w:r>
      <w:r>
        <w:rPr>
          <w:rFonts w:hint="eastAsia" w:ascii="仿宋_GB2312" w:hAnsi="仿宋" w:eastAsia="仿宋_GB2312"/>
          <w:sz w:val="32"/>
          <w:szCs w:val="32"/>
        </w:rPr>
        <w:t>渝财农[2022]155号，渝财农[2022]131号，溪财发[2023]3号，渝财农[2023]45号，渝财农[2023]89号等</w:t>
      </w:r>
      <w:r>
        <w:rPr>
          <w:rFonts w:hint="eastAsia" w:ascii="仿宋_GB2312" w:hAnsi="仿宋" w:eastAsia="仿宋_GB2312"/>
          <w:sz w:val="32"/>
          <w:szCs w:val="32"/>
          <w:lang w:val="en-US" w:eastAsia="zh-CN"/>
        </w:rPr>
        <w:t>项目资金。</w:t>
      </w:r>
    </w:p>
    <w:p>
      <w:pPr>
        <w:ind w:firstLine="640" w:firstLineChars="200"/>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住房保障支出65.96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w:t>
      </w:r>
      <w:r>
        <w:rPr>
          <w:rFonts w:ascii="方正仿宋_GBK" w:hAnsi="方正仿宋_GBK" w:eastAsia="方正仿宋_GBK" w:cs="方正仿宋_GBK"/>
          <w:sz w:val="32"/>
          <w:szCs w:val="32"/>
          <w:shd w:val="clear" w:color="auto" w:fill="FFFFFF"/>
        </w:rPr>
        <w:t>%，较年初预算数增加7.75万元，增长13.3%，主要原因是</w:t>
      </w:r>
      <w:r>
        <w:rPr>
          <w:rFonts w:hint="eastAsia" w:ascii="仿宋_GB2312" w:hAnsi="仿宋" w:eastAsia="仿宋_GB2312"/>
          <w:sz w:val="32"/>
          <w:szCs w:val="32"/>
        </w:rPr>
        <w:t>年中</w:t>
      </w:r>
      <w:r>
        <w:rPr>
          <w:rFonts w:hint="eastAsia" w:ascii="仿宋_GB2312" w:hAnsi="仿宋" w:eastAsia="仿宋_GB2312"/>
          <w:sz w:val="32"/>
          <w:szCs w:val="32"/>
          <w:lang w:val="en-US" w:eastAsia="zh-CN"/>
        </w:rPr>
        <w:t>增加</w:t>
      </w:r>
      <w:r>
        <w:rPr>
          <w:rFonts w:hint="eastAsia" w:ascii="方正仿宋_GBK" w:hAnsi="方正仿宋_GBK" w:eastAsia="方正仿宋_GBK" w:cs="方正仿宋_GBK"/>
          <w:sz w:val="32"/>
          <w:szCs w:val="32"/>
          <w:shd w:val="clear" w:color="auto" w:fill="FFFFFF"/>
        </w:rPr>
        <w:t>农村危房改造</w:t>
      </w:r>
      <w:r>
        <w:rPr>
          <w:rFonts w:hint="eastAsia" w:ascii="方正仿宋_GBK" w:hAnsi="方正仿宋_GBK" w:eastAsia="方正仿宋_GBK" w:cs="方正仿宋_GBK"/>
          <w:sz w:val="32"/>
          <w:szCs w:val="32"/>
          <w:shd w:val="clear" w:color="auto" w:fill="FFFFFF"/>
          <w:lang w:val="en-US" w:eastAsia="zh-CN"/>
        </w:rPr>
        <w:t>项目资金</w:t>
      </w:r>
      <w:r>
        <w:rPr>
          <w:rFonts w:ascii="方正仿宋_GBK" w:hAnsi="方正仿宋_GBK" w:eastAsia="方正仿宋_GBK" w:cs="方正仿宋_GBK"/>
          <w:sz w:val="32"/>
          <w:szCs w:val="32"/>
          <w:shd w:val="clear" w:color="auto" w:fill="FFFFFF"/>
        </w:rPr>
        <w:t>7.75万元</w:t>
      </w:r>
      <w:r>
        <w:rPr>
          <w:rFonts w:hint="eastAsia" w:ascii="方正仿宋_GBK" w:hAnsi="方正仿宋_GBK" w:eastAsia="方正仿宋_GBK" w:cs="方正仿宋_GBK"/>
          <w:sz w:val="32"/>
          <w:szCs w:val="32"/>
          <w:shd w:val="clear" w:color="auto" w:fill="FFFFFF"/>
          <w:lang w:eastAsia="zh-CN"/>
        </w:rPr>
        <w:t>。</w:t>
      </w:r>
    </w:p>
    <w:p>
      <w:pPr>
        <w:ind w:firstLine="640" w:firstLineChars="200"/>
        <w:rPr>
          <w:rFonts w:hint="eastAsia"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灾害防治及应急管理支出29.78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7</w:t>
      </w:r>
      <w:r>
        <w:rPr>
          <w:rFonts w:ascii="方正仿宋_GBK" w:hAnsi="方正仿宋_GBK" w:eastAsia="方正仿宋_GBK" w:cs="方正仿宋_GBK"/>
          <w:sz w:val="32"/>
          <w:szCs w:val="32"/>
          <w:shd w:val="clear" w:color="auto" w:fill="FFFFFF"/>
        </w:rPr>
        <w:t>%，较年初预算数增加29.78万元，增长100.0%，主要原因是</w:t>
      </w:r>
      <w:r>
        <w:rPr>
          <w:rFonts w:hint="eastAsia" w:ascii="仿宋_GB2312" w:hAnsi="仿宋" w:eastAsia="仿宋_GB2312"/>
          <w:sz w:val="32"/>
          <w:szCs w:val="32"/>
        </w:rPr>
        <w:t>年中</w:t>
      </w:r>
      <w:r>
        <w:rPr>
          <w:rFonts w:hint="eastAsia" w:ascii="仿宋_GB2312" w:hAnsi="仿宋" w:eastAsia="仿宋_GB2312"/>
          <w:sz w:val="32"/>
          <w:szCs w:val="32"/>
          <w:lang w:val="en-US" w:eastAsia="zh-CN"/>
        </w:rPr>
        <w:t>增加</w:t>
      </w:r>
      <w:r>
        <w:rPr>
          <w:rFonts w:hint="eastAsia" w:ascii="方正仿宋_GBK" w:hAnsi="方正仿宋_GBK" w:eastAsia="方正仿宋_GBK" w:cs="方正仿宋_GBK"/>
          <w:sz w:val="32"/>
          <w:szCs w:val="32"/>
          <w:shd w:val="clear" w:color="auto" w:fill="FFFFFF"/>
        </w:rPr>
        <w:t>2022年中央自然灾害救灾冬春救助补助资金项目</w:t>
      </w:r>
      <w:r>
        <w:rPr>
          <w:rFonts w:hint="eastAsia" w:ascii="方正仿宋_GBK" w:hAnsi="方正仿宋_GBK" w:eastAsia="方正仿宋_GBK" w:cs="方正仿宋_GBK"/>
          <w:sz w:val="32"/>
          <w:szCs w:val="32"/>
          <w:shd w:val="clear" w:color="auto" w:fill="FFFFFF"/>
          <w:lang w:val="en-US" w:eastAsia="zh-CN"/>
        </w:rPr>
        <w:t>资金</w:t>
      </w:r>
      <w:r>
        <w:rPr>
          <w:rFonts w:ascii="方正仿宋_GBK" w:hAnsi="方正仿宋_GBK" w:eastAsia="方正仿宋_GBK" w:cs="方正仿宋_GBK"/>
          <w:sz w:val="32"/>
          <w:szCs w:val="32"/>
        </w:rPr>
        <w:t>29.78</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953.92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837.55</w:t>
      </w:r>
      <w:r>
        <w:rPr>
          <w:rFonts w:ascii="方正仿宋_GBK" w:hAnsi="方正仿宋_GBK" w:eastAsia="方正仿宋_GBK" w:cs="方正仿宋_GBK"/>
          <w:sz w:val="32"/>
          <w:szCs w:val="32"/>
          <w:shd w:val="clear" w:color="auto" w:fill="FFFFFF"/>
        </w:rPr>
        <w:t>万元，较上年决算数减少32.16万元，下降3.70%，主要原因是</w:t>
      </w:r>
      <w:r>
        <w:rPr>
          <w:rFonts w:hint="eastAsia" w:ascii="方正仿宋_GBK" w:hAnsi="方正仿宋_GBK" w:eastAsia="方正仿宋_GBK" w:cs="方正仿宋_GBK"/>
          <w:color w:val="auto"/>
          <w:sz w:val="32"/>
          <w:szCs w:val="32"/>
          <w:shd w:val="clear" w:color="auto" w:fill="FFFFFF"/>
          <w:lang w:val="en-US" w:eastAsia="zh-CN"/>
        </w:rPr>
        <w:t>在职人员较上年减少3人。</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kern w:val="0"/>
          <w:sz w:val="32"/>
          <w:szCs w:val="32"/>
          <w:shd w:val="clear" w:fill="FFFFFF"/>
        </w:rPr>
        <w:t>基本工资、津贴、绩效、养老保险、职业年金、医疗保险、住房公积金等。公用经费116.37万元，较</w:t>
      </w:r>
      <w:r>
        <w:rPr>
          <w:rFonts w:ascii="方正仿宋_GBK" w:hAnsi="方正仿宋_GBK" w:eastAsia="方正仿宋_GBK" w:cs="方正仿宋_GBK"/>
          <w:sz w:val="32"/>
          <w:szCs w:val="32"/>
          <w:shd w:val="clear" w:color="auto" w:fill="FFFFFF"/>
        </w:rPr>
        <w:t>上年决算数减少17.66万元，下降13.</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在职人员较上年减少3人，</w:t>
      </w:r>
      <w:r>
        <w:rPr>
          <w:rFonts w:ascii="方正仿宋_GBK" w:hAnsi="方正仿宋_GBK" w:eastAsia="方正仿宋_GBK" w:cs="方正仿宋_GBK"/>
          <w:sz w:val="32"/>
          <w:szCs w:val="32"/>
          <w:shd w:val="clear" w:color="auto" w:fill="FFFFFF"/>
        </w:rPr>
        <w:t>公用经费</w:t>
      </w:r>
      <w:r>
        <w:rPr>
          <w:rFonts w:hint="eastAsia" w:ascii="方正仿宋_GBK" w:hAnsi="方正仿宋_GBK" w:eastAsia="方正仿宋_GBK" w:cs="方正仿宋_GBK"/>
          <w:sz w:val="32"/>
          <w:szCs w:val="32"/>
          <w:shd w:val="clear" w:color="auto" w:fill="FFFFFF"/>
          <w:lang w:val="en-US" w:eastAsia="zh-CN"/>
        </w:rPr>
        <w:t>同步减少</w:t>
      </w:r>
      <w:r>
        <w:rPr>
          <w:rFonts w:hint="eastAsia" w:ascii="方正仿宋_GBK" w:hAnsi="方正仿宋_GBK" w:eastAsia="方正仿宋_GBK" w:cs="方正仿宋_GBK"/>
          <w:color w:val="auto"/>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kern w:val="0"/>
          <w:sz w:val="32"/>
          <w:szCs w:val="32"/>
          <w:shd w:val="clear" w:fill="FFFFFF"/>
        </w:rPr>
        <w:t>办公费、水电费、公务接待费、邮电费、劳务费、会议费、差旅费等。</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11"/>
        <w:autoSpaceDE w:val="0"/>
        <w:ind w:firstLine="643"/>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本</w:t>
      </w:r>
      <w:r>
        <w:rPr>
          <w:rFonts w:hint="eastAsia" w:ascii="方正仿宋_GBK" w:hAnsi="方正仿宋_GBK" w:eastAsia="方正仿宋_GBK" w:cs="方正仿宋_GBK"/>
          <w:kern w:val="0"/>
          <w:sz w:val="32"/>
          <w:szCs w:val="32"/>
          <w:shd w:val="clear" w:fill="FFFFFF"/>
          <w:lang w:val="en-US" w:eastAsia="zh-CN"/>
        </w:rPr>
        <w:t>部门</w:t>
      </w:r>
      <w:r>
        <w:rPr>
          <w:rFonts w:hint="eastAsia" w:ascii="方正仿宋_GBK" w:hAnsi="方正仿宋_GBK" w:eastAsia="方正仿宋_GBK" w:cs="方正仿宋_GBK"/>
          <w:kern w:val="0"/>
          <w:sz w:val="32"/>
          <w:szCs w:val="32"/>
          <w:shd w:val="clear" w:fill="FFFFFF"/>
        </w:rPr>
        <w:t>2023年度无政府性基金预算财政拨款收支。</w:t>
      </w:r>
    </w:p>
    <w:p>
      <w:pPr>
        <w:pStyle w:val="11"/>
        <w:numPr>
          <w:ilvl w:val="0"/>
          <w:numId w:val="1"/>
        </w:numPr>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国有资本经营预算财政拨款支出决算情况说明</w:t>
      </w:r>
    </w:p>
    <w:p>
      <w:pPr>
        <w:pStyle w:val="11"/>
        <w:numPr>
          <w:numId w:val="0"/>
        </w:numPr>
        <w:autoSpaceDE w:val="0"/>
        <w:ind w:firstLine="640" w:firstLineChars="200"/>
        <w:rPr>
          <w:rFonts w:hint="eastAsia" w:ascii="楷体" w:hAnsi="楷体" w:eastAsia="楷体" w:cs="楷体"/>
          <w:b/>
          <w:bCs/>
          <w:sz w:val="32"/>
          <w:szCs w:val="32"/>
          <w:shd w:val="clear" w:color="auto" w:fill="FFFFFF"/>
        </w:rPr>
      </w:pPr>
      <w:r>
        <w:rPr>
          <w:rFonts w:hint="eastAsia" w:ascii="方正仿宋_GBK" w:hAnsi="方正仿宋_GBK" w:eastAsia="方正仿宋_GBK" w:cs="方正仿宋_GBK"/>
          <w:b w:val="0"/>
          <w:bCs w:val="0"/>
          <w:sz w:val="32"/>
          <w:szCs w:val="32"/>
          <w:shd w:val="clear" w:color="auto" w:fill="FFFFFF"/>
          <w:lang w:val="en-US" w:eastAsia="zh-CN"/>
        </w:rPr>
        <w:t>本单位2023年度无国有资本经营预算财政拨款支出。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15.53</w:t>
      </w:r>
      <w:r>
        <w:rPr>
          <w:rFonts w:ascii="方正仿宋_GBK" w:hAnsi="方正仿宋_GBK" w:eastAsia="方正仿宋_GBK" w:cs="方正仿宋_GBK"/>
          <w:sz w:val="32"/>
          <w:szCs w:val="32"/>
          <w:shd w:val="clear" w:color="auto" w:fill="FFFFFF"/>
        </w:rPr>
        <w:t>万元，较年初预算数减少0.47万元，下降2.9%，主要原因是</w:t>
      </w:r>
      <w:r>
        <w:rPr>
          <w:rFonts w:hint="eastAsia" w:ascii="仿宋_GB2312" w:hAnsi="仿宋" w:eastAsia="仿宋_GB2312" w:cs="仿宋"/>
          <w:color w:val="000000"/>
          <w:sz w:val="32"/>
          <w:szCs w:val="32"/>
        </w:rPr>
        <w:t>响应</w:t>
      </w:r>
      <w:r>
        <w:rPr>
          <w:rFonts w:hint="eastAsia" w:ascii="仿宋_GB2312" w:hAnsi="仿宋" w:eastAsia="仿宋_GB2312" w:cs="仿宋"/>
          <w:color w:val="000000"/>
          <w:sz w:val="32"/>
          <w:szCs w:val="32"/>
          <w:lang w:val="en-US" w:eastAsia="zh-CN"/>
        </w:rPr>
        <w:t>党政机关</w:t>
      </w:r>
      <w:r>
        <w:rPr>
          <w:rFonts w:hint="eastAsia" w:ascii="仿宋_GB2312" w:hAnsi="仿宋" w:eastAsia="仿宋_GB2312" w:cs="仿宋"/>
          <w:color w:val="000000"/>
          <w:sz w:val="32"/>
          <w:szCs w:val="32"/>
        </w:rPr>
        <w:t>“过紧日子”要求，缩紧了“三公经费”开支。</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较上年支出数减少0.92万元，下降5.</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%，主要原因是</w:t>
      </w:r>
      <w:r>
        <w:rPr>
          <w:rFonts w:hint="eastAsia" w:ascii="仿宋_GB2312" w:hAnsi="仿宋" w:eastAsia="仿宋_GB2312" w:cs="仿宋"/>
          <w:color w:val="000000"/>
          <w:sz w:val="32"/>
          <w:szCs w:val="32"/>
        </w:rPr>
        <w:t>响应</w:t>
      </w:r>
      <w:r>
        <w:rPr>
          <w:rFonts w:hint="eastAsia" w:ascii="仿宋_GB2312" w:hAnsi="仿宋" w:eastAsia="仿宋_GB2312" w:cs="仿宋"/>
          <w:color w:val="000000"/>
          <w:sz w:val="32"/>
          <w:szCs w:val="32"/>
          <w:lang w:val="en-US" w:eastAsia="zh-CN"/>
        </w:rPr>
        <w:t>党政机关</w:t>
      </w:r>
      <w:r>
        <w:rPr>
          <w:rFonts w:hint="eastAsia" w:ascii="仿宋_GB2312" w:hAnsi="仿宋" w:eastAsia="仿宋_GB2312" w:cs="仿宋"/>
          <w:color w:val="000000"/>
          <w:sz w:val="32"/>
          <w:szCs w:val="32"/>
        </w:rPr>
        <w:t>“过紧日子”要求，缩紧了“三公经费”开支。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eastAsia" w:ascii="仿宋_GB2312" w:hAnsi="仿宋" w:eastAsia="仿宋_GB2312" w:cs="仿宋"/>
          <w:color w:val="000000"/>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7.53</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kern w:val="0"/>
          <w:sz w:val="32"/>
          <w:szCs w:val="32"/>
          <w:shd w:val="clear" w:fill="FFFFFF"/>
        </w:rPr>
        <w:t>公务车油料费、保养费、维修维护费、保险等。</w:t>
      </w:r>
      <w:r>
        <w:rPr>
          <w:rFonts w:ascii="方正仿宋_GBK" w:hAnsi="方正仿宋_GBK" w:eastAsia="方正仿宋_GBK" w:cs="方正仿宋_GBK"/>
          <w:sz w:val="32"/>
          <w:szCs w:val="32"/>
          <w:shd w:val="clear" w:color="auto" w:fill="FFFFFF"/>
        </w:rPr>
        <w:t>费用支出较年初预算数减少0.47万元，下降5.</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%，主要原因是</w:t>
      </w:r>
      <w:r>
        <w:rPr>
          <w:rFonts w:hint="eastAsia" w:ascii="仿宋_GB2312" w:hAnsi="仿宋" w:eastAsia="仿宋_GB2312" w:cs="仿宋"/>
          <w:color w:val="000000"/>
          <w:sz w:val="32"/>
          <w:szCs w:val="32"/>
        </w:rPr>
        <w:t>响应</w:t>
      </w:r>
      <w:r>
        <w:rPr>
          <w:rFonts w:hint="eastAsia" w:ascii="仿宋_GB2312" w:hAnsi="仿宋" w:eastAsia="仿宋_GB2312" w:cs="仿宋"/>
          <w:color w:val="000000"/>
          <w:sz w:val="32"/>
          <w:szCs w:val="32"/>
          <w:lang w:val="en-US" w:eastAsia="zh-CN"/>
        </w:rPr>
        <w:t>党政机关</w:t>
      </w:r>
      <w:r>
        <w:rPr>
          <w:rFonts w:hint="eastAsia" w:ascii="仿宋_GB2312" w:hAnsi="仿宋" w:eastAsia="仿宋_GB2312" w:cs="仿宋"/>
          <w:color w:val="000000"/>
          <w:sz w:val="32"/>
          <w:szCs w:val="32"/>
        </w:rPr>
        <w:t>“过紧日子”要求，</w:t>
      </w:r>
      <w:r>
        <w:rPr>
          <w:rFonts w:hint="eastAsia" w:ascii="仿宋_GB2312" w:hAnsi="仿宋" w:eastAsia="仿宋_GB2312" w:cs="仿宋"/>
          <w:color w:val="000000"/>
          <w:sz w:val="32"/>
          <w:szCs w:val="32"/>
          <w:lang w:val="en-US" w:eastAsia="zh-CN"/>
        </w:rPr>
        <w:t>严格执行预算控制</w:t>
      </w:r>
      <w:r>
        <w:rPr>
          <w:rFonts w:hint="eastAsia" w:ascii="仿宋_GB2312" w:hAnsi="仿宋" w:eastAsia="仿宋_GB2312" w:cs="仿宋"/>
          <w:color w:val="000000"/>
          <w:sz w:val="32"/>
          <w:szCs w:val="32"/>
        </w:rPr>
        <w:t>。</w:t>
      </w:r>
      <w:r>
        <w:rPr>
          <w:rFonts w:ascii="方正仿宋_GBK" w:hAnsi="方正仿宋_GBK" w:eastAsia="方正仿宋_GBK" w:cs="方正仿宋_GBK"/>
          <w:sz w:val="32"/>
          <w:szCs w:val="32"/>
          <w:shd w:val="clear" w:color="auto" w:fill="FFFFFF"/>
        </w:rPr>
        <w:t>较上年支出数减少0.29万元，下降3.7%，主要原因是</w:t>
      </w:r>
      <w:r>
        <w:rPr>
          <w:rFonts w:hint="eastAsia" w:ascii="仿宋_GB2312" w:hAnsi="仿宋" w:eastAsia="仿宋_GB2312" w:cs="仿宋"/>
          <w:color w:val="000000"/>
          <w:sz w:val="32"/>
          <w:szCs w:val="32"/>
        </w:rPr>
        <w:t>响应</w:t>
      </w:r>
      <w:r>
        <w:rPr>
          <w:rFonts w:hint="eastAsia" w:ascii="仿宋_GB2312" w:hAnsi="仿宋" w:eastAsia="仿宋_GB2312" w:cs="仿宋"/>
          <w:color w:val="000000"/>
          <w:sz w:val="32"/>
          <w:szCs w:val="32"/>
          <w:lang w:val="en-US" w:eastAsia="zh-CN"/>
        </w:rPr>
        <w:t>党政机关</w:t>
      </w:r>
      <w:r>
        <w:rPr>
          <w:rFonts w:hint="eastAsia" w:ascii="仿宋_GB2312" w:hAnsi="仿宋" w:eastAsia="仿宋_GB2312" w:cs="仿宋"/>
          <w:color w:val="000000"/>
          <w:sz w:val="32"/>
          <w:szCs w:val="32"/>
        </w:rPr>
        <w:t>“过紧日子”要求，缩紧了</w:t>
      </w:r>
      <w:r>
        <w:rPr>
          <w:rFonts w:hint="eastAsia" w:ascii="仿宋_GB2312" w:hAnsi="仿宋" w:eastAsia="仿宋_GB2312" w:cs="仿宋"/>
          <w:color w:val="000000"/>
          <w:sz w:val="32"/>
          <w:szCs w:val="32"/>
          <w:lang w:val="en-US" w:eastAsia="zh-CN"/>
        </w:rPr>
        <w:t>公务用车</w:t>
      </w:r>
      <w:r>
        <w:rPr>
          <w:rFonts w:hint="eastAsia" w:ascii="仿宋_GB2312" w:hAnsi="仿宋" w:eastAsia="仿宋_GB2312" w:cs="仿宋"/>
          <w:color w:val="000000"/>
          <w:sz w:val="32"/>
          <w:szCs w:val="32"/>
        </w:rPr>
        <w:t>开支。</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8</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kern w:val="0"/>
          <w:sz w:val="32"/>
          <w:szCs w:val="32"/>
          <w:shd w:val="clear" w:fill="FFFFFF"/>
        </w:rPr>
        <w:t>接待上级部门考察人员、审计人员、同级部门之间交流学习人员等。</w:t>
      </w:r>
      <w:r>
        <w:rPr>
          <w:rFonts w:ascii="方正仿宋_GBK" w:hAnsi="方正仿宋_GBK" w:eastAsia="方正仿宋_GBK" w:cs="方正仿宋_GBK"/>
          <w:sz w:val="32"/>
          <w:szCs w:val="32"/>
          <w:shd w:val="clear" w:color="auto" w:fill="FFFFFF"/>
        </w:rPr>
        <w:t>费用支出较年初预算数无增减，主要原因是</w:t>
      </w:r>
      <w:r>
        <w:rPr>
          <w:rFonts w:hint="eastAsia" w:ascii="仿宋_GB2312" w:hAnsi="仿宋" w:eastAsia="仿宋_GB2312" w:cs="仿宋"/>
          <w:color w:val="000000"/>
          <w:sz w:val="32"/>
          <w:szCs w:val="32"/>
          <w:lang w:val="en-US" w:eastAsia="zh-CN"/>
        </w:rPr>
        <w:t>严格执行预算控制</w:t>
      </w:r>
      <w:r>
        <w:rPr>
          <w:rFonts w:hint="eastAsia" w:ascii="仿宋_GB2312" w:hAnsi="仿宋" w:eastAsia="仿宋_GB2312" w:cs="仿宋"/>
          <w:color w:val="000000"/>
          <w:sz w:val="32"/>
          <w:szCs w:val="32"/>
        </w:rPr>
        <w:t>。</w:t>
      </w:r>
      <w:r>
        <w:rPr>
          <w:rFonts w:ascii="方正仿宋_GBK" w:hAnsi="方正仿宋_GBK" w:eastAsia="方正仿宋_GBK" w:cs="方正仿宋_GBK"/>
          <w:sz w:val="32"/>
          <w:szCs w:val="32"/>
          <w:shd w:val="clear" w:color="auto" w:fill="FFFFFF"/>
        </w:rPr>
        <w:t>较上年支出数减少0.63万元，下降7.3%，主要原因是</w:t>
      </w:r>
      <w:r>
        <w:rPr>
          <w:rFonts w:hint="eastAsia" w:ascii="仿宋_GB2312" w:hAnsi="仿宋" w:eastAsia="仿宋_GB2312" w:cs="仿宋"/>
          <w:color w:val="000000"/>
          <w:sz w:val="32"/>
          <w:szCs w:val="32"/>
        </w:rPr>
        <w:t>响应</w:t>
      </w:r>
      <w:r>
        <w:rPr>
          <w:rFonts w:hint="eastAsia" w:ascii="仿宋_GB2312" w:hAnsi="仿宋" w:eastAsia="仿宋_GB2312" w:cs="仿宋"/>
          <w:color w:val="000000"/>
          <w:sz w:val="32"/>
          <w:szCs w:val="32"/>
          <w:lang w:val="en-US" w:eastAsia="zh-CN"/>
        </w:rPr>
        <w:t>党政机关</w:t>
      </w:r>
      <w:r>
        <w:rPr>
          <w:rFonts w:hint="eastAsia" w:ascii="仿宋_GB2312" w:hAnsi="仿宋" w:eastAsia="仿宋_GB2312" w:cs="仿宋"/>
          <w:color w:val="000000"/>
          <w:sz w:val="32"/>
          <w:szCs w:val="32"/>
        </w:rPr>
        <w:t>“过紧日子”要求，</w:t>
      </w:r>
      <w:r>
        <w:rPr>
          <w:rFonts w:hint="eastAsia" w:ascii="仿宋_GB2312" w:hAnsi="仿宋" w:eastAsia="仿宋_GB2312" w:cs="仿宋"/>
          <w:color w:val="000000"/>
          <w:sz w:val="32"/>
          <w:szCs w:val="32"/>
          <w:lang w:val="en-US" w:eastAsia="zh-CN"/>
        </w:rPr>
        <w:t>严格控制非必要接待</w:t>
      </w:r>
      <w:r>
        <w:rPr>
          <w:rFonts w:hint="eastAsia" w:ascii="仿宋_GB2312" w:hAnsi="仿宋" w:eastAsia="仿宋_GB2312" w:cs="仿宋"/>
          <w:color w:val="000000"/>
          <w:sz w:val="32"/>
          <w:szCs w:val="32"/>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60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2000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40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3.77</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14.1</w:t>
      </w:r>
      <w:r>
        <w:rPr>
          <w:rFonts w:ascii="方正仿宋_GBK" w:hAnsi="方正仿宋_GBK" w:eastAsia="方正仿宋_GBK" w:cs="方正仿宋_GBK"/>
          <w:sz w:val="32"/>
          <w:szCs w:val="32"/>
          <w:shd w:val="clear" w:color="auto" w:fill="FFFFFF"/>
        </w:rPr>
        <w:t>万元，较上年决算数增加4.1万元，增长41.0%，主要原因是</w:t>
      </w:r>
      <w:r>
        <w:rPr>
          <w:rFonts w:hint="eastAsia" w:ascii="方正仿宋_GBK" w:hAnsi="方正仿宋_GBK" w:eastAsia="方正仿宋_GBK" w:cs="方正仿宋_GBK"/>
          <w:sz w:val="32"/>
          <w:szCs w:val="32"/>
          <w:shd w:val="clear" w:color="auto" w:fill="FFFFFF"/>
        </w:rPr>
        <w:t>人大代表活动经费</w:t>
      </w:r>
      <w:r>
        <w:rPr>
          <w:rFonts w:hint="eastAsia" w:ascii="方正仿宋_GBK" w:hAnsi="方正仿宋_GBK" w:eastAsia="方正仿宋_GBK" w:cs="方正仿宋_GBK"/>
          <w:sz w:val="32"/>
          <w:szCs w:val="32"/>
          <w:shd w:val="clear" w:color="auto" w:fill="FFFFFF"/>
          <w:lang w:val="en-US" w:eastAsia="zh-CN"/>
        </w:rPr>
        <w:t>6.1万元纳入了会议费支出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万元，较上年决算数无变化。</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86.44</w:t>
      </w:r>
      <w:r>
        <w:rPr>
          <w:rFonts w:ascii="方正仿宋_GBK" w:hAnsi="方正仿宋_GBK" w:eastAsia="方正仿宋_GBK" w:cs="方正仿宋_GBK"/>
          <w:sz w:val="32"/>
          <w:szCs w:val="32"/>
          <w:shd w:val="clear" w:color="auto" w:fill="FFFFFF"/>
        </w:rPr>
        <w:t>万元，机关运行经费主要用于开支</w:t>
      </w:r>
      <w:r>
        <w:rPr>
          <w:rFonts w:hint="eastAsia" w:ascii="方正仿宋_GBK" w:hAnsi="方正仿宋_GBK" w:eastAsia="方正仿宋_GBK" w:cs="方正仿宋_GBK"/>
          <w:kern w:val="0"/>
          <w:sz w:val="30"/>
          <w:szCs w:val="30"/>
          <w:shd w:val="clear" w:fill="FFFFFF"/>
        </w:rPr>
        <w:t>办公费、水电费、公务接待费、邮电费、劳务费、会议费、差旅费、公务车运行维护费、群团工作经费、离退休活动管理费等。</w:t>
      </w:r>
      <w:r>
        <w:rPr>
          <w:rFonts w:ascii="方正仿宋_GBK" w:hAnsi="方正仿宋_GBK" w:eastAsia="方正仿宋_GBK" w:cs="方正仿宋_GBK"/>
          <w:sz w:val="32"/>
          <w:szCs w:val="32"/>
          <w:shd w:val="clear" w:color="auto" w:fill="FFFFFF"/>
        </w:rPr>
        <w:t>机关运行经费较上年支出数减少12.29万元，下降12.</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2023年在职人员较上年减少3人，相应的</w:t>
      </w:r>
      <w:r>
        <w:rPr>
          <w:rFonts w:ascii="方正仿宋_GBK" w:hAnsi="方正仿宋_GBK" w:eastAsia="方正仿宋_GBK" w:cs="方正仿宋_GBK"/>
          <w:sz w:val="32"/>
          <w:szCs w:val="32"/>
          <w:shd w:val="clear" w:color="auto" w:fill="FFFFFF"/>
        </w:rPr>
        <w:t>机关运行经费</w:t>
      </w:r>
      <w:r>
        <w:rPr>
          <w:rFonts w:hint="eastAsia" w:ascii="方正仿宋_GBK" w:hAnsi="方正仿宋_GBK" w:eastAsia="方正仿宋_GBK" w:cs="方正仿宋_GBK"/>
          <w:sz w:val="32"/>
          <w:szCs w:val="32"/>
          <w:shd w:val="clear" w:color="auto" w:fill="FFFFFF"/>
          <w:lang w:val="en-US" w:eastAsia="zh-CN"/>
        </w:rPr>
        <w:t>同步减少。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截至2023年12月31日，本单位共有车辆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16"/>
        <w:keepNext w:val="0"/>
        <w:keepLines w:val="0"/>
        <w:widowControl/>
        <w:suppressLineNumbers w:val="0"/>
        <w:autoSpaceDE w:val="0"/>
        <w:autoSpaceDN/>
        <w:spacing w:before="0" w:beforeAutospacing="0" w:line="596" w:lineRule="exact"/>
        <w:ind w:left="0"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2023年度本单位政府采购支出总额</w:t>
      </w:r>
      <w:r>
        <w:rPr>
          <w:rFonts w:ascii="方正仿宋_GBK" w:hAnsi="方正仿宋_GBK" w:eastAsia="方正仿宋_GBK" w:cs="方正仿宋_GBK"/>
          <w:sz w:val="32"/>
          <w:szCs w:val="32"/>
        </w:rPr>
        <w:t>1469.28</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1469.28</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1469.28万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1469.28</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%。主要用于采购</w:t>
      </w:r>
      <w:r>
        <w:rPr>
          <w:rFonts w:hint="eastAsia" w:ascii="方正仿宋_GBK" w:hAnsi="方正仿宋_GBK" w:eastAsia="方正仿宋_GBK" w:cs="方正仿宋_GBK"/>
          <w:kern w:val="0"/>
          <w:sz w:val="32"/>
          <w:szCs w:val="32"/>
          <w:shd w:val="clear" w:fill="FFFFFF"/>
        </w:rPr>
        <w:t>产业发展设备、产业和水利项目建设材料、农居环境所需物品等。</w:t>
      </w:r>
    </w:p>
    <w:p>
      <w:pPr>
        <w:pStyle w:val="6"/>
        <w:numPr>
          <w:ilvl w:val="0"/>
          <w:numId w:val="2"/>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2"/>
        <w:spacing w:before="0" w:beforeAutospacing="0"/>
        <w:rPr>
          <w:rStyle w:val="10"/>
          <w:rFonts w:hint="default" w:ascii="黑体" w:hAnsi="黑体" w:eastAsia="黑体" w:cs="黑体"/>
          <w:sz w:val="32"/>
          <w:szCs w:val="32"/>
          <w:shd w:val="clear" w:color="auto" w:fill="FFFFFF"/>
        </w:rPr>
      </w:pPr>
      <w:r>
        <w:rPr>
          <w:rFonts w:hint="eastAsia" w:ascii="楷体" w:hAnsi="楷体" w:eastAsia="楷体" w:cs="楷体"/>
          <w:b/>
          <w:bCs/>
          <w:sz w:val="32"/>
          <w:szCs w:val="32"/>
          <w:shd w:val="clear" w:color="auto" w:fill="FFFFFF"/>
        </w:rPr>
        <w:t>（一）部门自评情况</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jc w:val="both"/>
        <w:textAlignment w:val="auto"/>
        <w:rPr>
          <w:rFonts w:hint="eastAsia" w:ascii="方正仿宋_GBK" w:hAnsi="方正仿宋_GBK" w:eastAsia="方正仿宋_GBK" w:cs="方正仿宋_GBK"/>
          <w:sz w:val="32"/>
          <w:szCs w:val="32"/>
          <w:highlight w:val="yellow"/>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根据预算绩效管理要求，我单位对部门整体和</w:t>
      </w:r>
      <w:r>
        <w:rPr>
          <w:rFonts w:hint="eastAsia" w:ascii="方正仿宋_GBK" w:hAnsi="方正仿宋_GBK" w:eastAsia="方正仿宋_GBK" w:cs="方正仿宋_GBK"/>
          <w:sz w:val="32"/>
          <w:szCs w:val="32"/>
          <w:shd w:val="clear" w:color="auto" w:fill="FFFFFF"/>
          <w:lang w:val="en-US" w:eastAsia="zh-CN"/>
        </w:rPr>
        <w:t>71</w:t>
      </w:r>
      <w:r>
        <w:rPr>
          <w:rFonts w:hint="eastAsia" w:ascii="方正仿宋_GBK" w:hAnsi="方正仿宋_GBK" w:eastAsia="方正仿宋_GBK" w:cs="方正仿宋_GBK"/>
          <w:sz w:val="32"/>
          <w:szCs w:val="32"/>
          <w:shd w:val="clear" w:color="auto" w:fill="FFFFFF"/>
        </w:rPr>
        <w:t>个二级项目开展了绩效自评，涉及财政拨款项目支出资金3407</w:t>
      </w:r>
      <w:r>
        <w:rPr>
          <w:rFonts w:hint="eastAsia" w:ascii="方正仿宋_GBK" w:hAnsi="方正仿宋_GBK" w:eastAsia="方正仿宋_GBK" w:cs="方正仿宋_GBK"/>
          <w:sz w:val="32"/>
          <w:szCs w:val="32"/>
          <w:shd w:val="clear" w:color="auto" w:fill="FFFFFF"/>
          <w:lang w:val="en-US" w:eastAsia="zh-CN"/>
        </w:rPr>
        <w:t>.</w:t>
      </w:r>
      <w:r>
        <w:rPr>
          <w:rFonts w:hint="eastAsia" w:ascii="方正仿宋_GBK" w:hAnsi="方正仿宋_GBK" w:eastAsia="方正仿宋_GBK" w:cs="方正仿宋_GBK"/>
          <w:sz w:val="32"/>
          <w:szCs w:val="32"/>
          <w:shd w:val="clear" w:color="auto" w:fill="FFFFFF"/>
        </w:rPr>
        <w:t>6</w:t>
      </w:r>
      <w:r>
        <w:rPr>
          <w:rFonts w:hint="eastAsia" w:ascii="方正仿宋_GBK" w:hAnsi="方正仿宋_GBK" w:eastAsia="方正仿宋_GBK" w:cs="方正仿宋_GBK"/>
          <w:sz w:val="32"/>
          <w:szCs w:val="32"/>
          <w:shd w:val="clear" w:color="auto" w:fill="FFFFFF"/>
          <w:lang w:val="en-US" w:eastAsia="zh-CN"/>
        </w:rPr>
        <w:t>8</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tbl>
      <w:tblPr>
        <w:tblStyle w:val="7"/>
        <w:tblW w:w="5171" w:type="pct"/>
        <w:tblInd w:w="0" w:type="dxa"/>
        <w:shd w:val="clear" w:color="auto" w:fill="auto"/>
        <w:tblLayout w:type="fixed"/>
        <w:tblCellMar>
          <w:top w:w="0" w:type="dxa"/>
          <w:left w:w="0" w:type="dxa"/>
          <w:bottom w:w="0" w:type="dxa"/>
          <w:right w:w="0" w:type="dxa"/>
        </w:tblCellMar>
      </w:tblPr>
      <w:tblGrid>
        <w:gridCol w:w="930"/>
        <w:gridCol w:w="434"/>
        <w:gridCol w:w="376"/>
        <w:gridCol w:w="341"/>
        <w:gridCol w:w="428"/>
        <w:gridCol w:w="172"/>
        <w:gridCol w:w="317"/>
        <w:gridCol w:w="316"/>
        <w:gridCol w:w="126"/>
        <w:gridCol w:w="673"/>
        <w:gridCol w:w="30"/>
        <w:gridCol w:w="708"/>
        <w:gridCol w:w="63"/>
        <w:gridCol w:w="50"/>
        <w:gridCol w:w="162"/>
        <w:gridCol w:w="592"/>
        <w:gridCol w:w="130"/>
        <w:gridCol w:w="415"/>
        <w:gridCol w:w="318"/>
        <w:gridCol w:w="150"/>
        <w:gridCol w:w="77"/>
        <w:gridCol w:w="390"/>
        <w:gridCol w:w="216"/>
        <w:gridCol w:w="196"/>
        <w:gridCol w:w="321"/>
        <w:gridCol w:w="300"/>
        <w:gridCol w:w="114"/>
        <w:gridCol w:w="286"/>
      </w:tblGrid>
      <w:tr>
        <w:tblPrEx>
          <w:shd w:val="clear" w:color="auto" w:fill="auto"/>
          <w:tblCellMar>
            <w:top w:w="0" w:type="dxa"/>
            <w:left w:w="0" w:type="dxa"/>
            <w:bottom w:w="0" w:type="dxa"/>
            <w:right w:w="0" w:type="dxa"/>
          </w:tblCellMar>
        </w:tblPrEx>
        <w:trPr>
          <w:trHeight w:val="791" w:hRule="atLeast"/>
        </w:trPr>
        <w:tc>
          <w:tcPr>
            <w:tcW w:w="5000" w:type="pct"/>
            <w:gridSpan w:val="2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2023年度部门整体绩效自评表</w:t>
            </w:r>
          </w:p>
        </w:tc>
      </w:tr>
      <w:tr>
        <w:tblPrEx>
          <w:shd w:val="clear" w:color="auto" w:fill="auto"/>
          <w:tblCellMar>
            <w:top w:w="0" w:type="dxa"/>
            <w:left w:w="0" w:type="dxa"/>
            <w:bottom w:w="0" w:type="dxa"/>
            <w:right w:w="0" w:type="dxa"/>
          </w:tblCellMar>
        </w:tblPrEx>
        <w:trPr>
          <w:trHeight w:val="500" w:hRule="atLeast"/>
        </w:trPr>
        <w:tc>
          <w:tcPr>
            <w:tcW w:w="79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129"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巫溪县尖山镇人民政府整体自评</w:t>
            </w:r>
          </w:p>
        </w:tc>
        <w:tc>
          <w:tcPr>
            <w:tcW w:w="48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569"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50023800023P000128</w:t>
            </w:r>
          </w:p>
        </w:tc>
        <w:tc>
          <w:tcPr>
            <w:tcW w:w="842"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187" w:type="pct"/>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99.96</w:t>
            </w:r>
          </w:p>
        </w:tc>
      </w:tr>
      <w:tr>
        <w:tblPrEx>
          <w:shd w:val="clear" w:color="auto" w:fill="auto"/>
          <w:tblCellMar>
            <w:top w:w="0" w:type="dxa"/>
            <w:left w:w="0" w:type="dxa"/>
            <w:bottom w:w="0" w:type="dxa"/>
            <w:right w:w="0" w:type="dxa"/>
          </w:tblCellMar>
        </w:tblPrEx>
        <w:trPr>
          <w:trHeight w:val="500" w:hRule="atLeast"/>
        </w:trPr>
        <w:tc>
          <w:tcPr>
            <w:tcW w:w="79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1129"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512-巫溪县尖山镇人民政府</w:t>
            </w:r>
          </w:p>
        </w:tc>
        <w:tc>
          <w:tcPr>
            <w:tcW w:w="48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w:t>
            </w:r>
            <w:r>
              <w:rPr>
                <w:rFonts w:hint="eastAsia" w:cs="宋体"/>
                <w:b/>
                <w:i w:val="0"/>
                <w:color w:val="000000"/>
                <w:kern w:val="0"/>
                <w:sz w:val="22"/>
                <w:szCs w:val="22"/>
                <w:u w:val="none"/>
                <w:lang w:val="en-US" w:eastAsia="zh-CN" w:bidi="ar"/>
              </w:rPr>
              <w:t>科</w:t>
            </w:r>
            <w:r>
              <w:rPr>
                <w:rFonts w:hint="eastAsia" w:ascii="宋体" w:hAnsi="宋体" w:eastAsia="宋体" w:cs="宋体"/>
                <w:b/>
                <w:i w:val="0"/>
                <w:color w:val="000000"/>
                <w:kern w:val="0"/>
                <w:sz w:val="22"/>
                <w:szCs w:val="22"/>
                <w:u w:val="none"/>
                <w:lang w:val="en-US" w:eastAsia="zh-CN" w:bidi="ar"/>
              </w:rPr>
              <w:t>室：</w:t>
            </w:r>
          </w:p>
        </w:tc>
        <w:tc>
          <w:tcPr>
            <w:tcW w:w="569"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010-基财科</w:t>
            </w:r>
          </w:p>
        </w:tc>
        <w:tc>
          <w:tcPr>
            <w:tcW w:w="842"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刘林</w:t>
            </w:r>
          </w:p>
        </w:tc>
        <w:tc>
          <w:tcPr>
            <w:tcW w:w="42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40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15223536596</w:t>
            </w:r>
          </w:p>
        </w:tc>
      </w:tr>
      <w:tr>
        <w:tblPrEx>
          <w:shd w:val="clear" w:color="auto" w:fill="auto"/>
          <w:tblCellMar>
            <w:top w:w="0" w:type="dxa"/>
            <w:left w:w="0" w:type="dxa"/>
            <w:bottom w:w="0" w:type="dxa"/>
            <w:right w:w="0" w:type="dxa"/>
          </w:tblCellMar>
        </w:tblPrEx>
        <w:trPr>
          <w:trHeight w:val="462" w:hRule="atLeast"/>
        </w:trPr>
        <w:tc>
          <w:tcPr>
            <w:tcW w:w="5000" w:type="pct"/>
            <w:gridSpan w:val="2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shd w:val="clear" w:color="auto" w:fill="auto"/>
          <w:tblCellMar>
            <w:top w:w="0" w:type="dxa"/>
            <w:left w:w="0" w:type="dxa"/>
            <w:bottom w:w="0" w:type="dxa"/>
            <w:right w:w="0" w:type="dxa"/>
          </w:tblCellMar>
        </w:tblPrEx>
        <w:trPr>
          <w:trHeight w:val="496" w:hRule="atLeast"/>
        </w:trPr>
        <w:tc>
          <w:tcPr>
            <w:tcW w:w="79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6"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1109"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965"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42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40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shd w:val="clear" w:color="auto" w:fill="auto"/>
          <w:tblCellMar>
            <w:top w:w="0" w:type="dxa"/>
            <w:left w:w="0" w:type="dxa"/>
            <w:bottom w:w="0" w:type="dxa"/>
            <w:right w:w="0" w:type="dxa"/>
          </w:tblCellMar>
        </w:tblPrEx>
        <w:trPr>
          <w:trHeight w:val="489" w:hRule="atLeast"/>
        </w:trPr>
        <w:tc>
          <w:tcPr>
            <w:tcW w:w="790" w:type="pct"/>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946" w:type="pct"/>
            <w:gridSpan w:val="5"/>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13,278,044.88</w:t>
            </w:r>
          </w:p>
        </w:tc>
        <w:tc>
          <w:tcPr>
            <w:tcW w:w="1109"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48,749,354.54</w:t>
            </w:r>
          </w:p>
        </w:tc>
        <w:tc>
          <w:tcPr>
            <w:tcW w:w="965" w:type="pct"/>
            <w:gridSpan w:val="6"/>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48,564,048.72</w:t>
            </w:r>
          </w:p>
        </w:tc>
        <w:tc>
          <w:tcPr>
            <w:tcW w:w="357" w:type="pct"/>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2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0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790" w:type="pct"/>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946" w:type="pct"/>
            <w:gridSpan w:val="5"/>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13,278,044.88</w:t>
            </w:r>
          </w:p>
        </w:tc>
        <w:tc>
          <w:tcPr>
            <w:tcW w:w="1109"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48,749,354.54</w:t>
            </w:r>
          </w:p>
        </w:tc>
        <w:tc>
          <w:tcPr>
            <w:tcW w:w="965" w:type="pct"/>
            <w:gridSpan w:val="6"/>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48,564,048.72</w:t>
            </w:r>
          </w:p>
        </w:tc>
        <w:tc>
          <w:tcPr>
            <w:tcW w:w="357" w:type="pct"/>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99.61</w:t>
            </w:r>
          </w:p>
        </w:tc>
        <w:tc>
          <w:tcPr>
            <w:tcW w:w="42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0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9.96</w:t>
            </w:r>
          </w:p>
        </w:tc>
      </w:tr>
      <w:tr>
        <w:tblPrEx>
          <w:shd w:val="clear" w:color="auto" w:fill="auto"/>
          <w:tblCellMar>
            <w:top w:w="0" w:type="dxa"/>
            <w:left w:w="0" w:type="dxa"/>
            <w:bottom w:w="0" w:type="dxa"/>
            <w:right w:w="0" w:type="dxa"/>
          </w:tblCellMar>
        </w:tblPrEx>
        <w:trPr>
          <w:trHeight w:val="488" w:hRule="atLeast"/>
        </w:trPr>
        <w:tc>
          <w:tcPr>
            <w:tcW w:w="790" w:type="pct"/>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946" w:type="pct"/>
            <w:gridSpan w:val="5"/>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13,278,044.88</w:t>
            </w:r>
          </w:p>
        </w:tc>
        <w:tc>
          <w:tcPr>
            <w:tcW w:w="1109"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48,749,354.54</w:t>
            </w:r>
          </w:p>
        </w:tc>
        <w:tc>
          <w:tcPr>
            <w:tcW w:w="965" w:type="pct"/>
            <w:gridSpan w:val="6"/>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48,564,048.72</w:t>
            </w:r>
          </w:p>
        </w:tc>
        <w:tc>
          <w:tcPr>
            <w:tcW w:w="357" w:type="pct"/>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99.61</w:t>
            </w:r>
          </w:p>
        </w:tc>
        <w:tc>
          <w:tcPr>
            <w:tcW w:w="42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0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45" w:hRule="atLeast"/>
        </w:trPr>
        <w:tc>
          <w:tcPr>
            <w:tcW w:w="5000" w:type="pct"/>
            <w:gridSpan w:val="2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shd w:val="clear" w:color="auto" w:fill="auto"/>
          <w:tblCellMar>
            <w:top w:w="0" w:type="dxa"/>
            <w:left w:w="0" w:type="dxa"/>
            <w:bottom w:w="0" w:type="dxa"/>
            <w:right w:w="0" w:type="dxa"/>
          </w:tblCellMar>
        </w:tblPrEx>
        <w:trPr>
          <w:trHeight w:val="500" w:hRule="atLeast"/>
        </w:trPr>
        <w:tc>
          <w:tcPr>
            <w:tcW w:w="1736" w:type="pct"/>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1651" w:type="pct"/>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1612"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shd w:val="clear" w:color="auto" w:fill="auto"/>
          <w:tblCellMar>
            <w:top w:w="0" w:type="dxa"/>
            <w:left w:w="0" w:type="dxa"/>
            <w:bottom w:w="0" w:type="dxa"/>
            <w:right w:w="0" w:type="dxa"/>
          </w:tblCellMar>
        </w:tblPrEx>
        <w:trPr>
          <w:trHeight w:val="3320" w:hRule="atLeast"/>
        </w:trPr>
        <w:tc>
          <w:tcPr>
            <w:tcW w:w="1736"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政策引导，服务市场主体和营造发展环境，搞好市场监管，大力促进社会事业发展，发展镇村经济、文化和社会事业，提供公共服务，维护社会稳定，执行本级人民代表大会的决议和上级国家行政机关的决定和命令，发布决定和命令，执行本行政区域内的经济和社会发展计划、预算，管理本行政区域内的经济、教育、科学、文化、卫生、体育事业和财政、民政、公安、司法行政、计划生育等行政工作。 围绕“保、优、延、减、稳”的原则，进一步落实“有保有压”，加强“保民生、保工资、保运转”等重点领域经费保障，压减一般性支出，进一步优化支出结构，严格政府采购管理，规范经费开支标准，提升财政资金使用绩效。</w:t>
            </w:r>
          </w:p>
        </w:tc>
        <w:tc>
          <w:tcPr>
            <w:tcW w:w="1651" w:type="pct"/>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政策引导，服务市场主体和营造发展环境，搞好市场监管，大力促进社会事业发展，发展镇村经济、文化和社会事业，提供公共服务，维护社会稳定，执行本级人民代表大会的决议和上级国家行政机关的决定和命令，发布决定和命令，执行本行政区域内的经济和社会发展计划、预算，管理本行政区域内的经济、教育、科学、文化、卫生、体育事业和财政、民政、公安、司法行政、计划生育等行政工作。 围绕“保、优、延、减、稳”的原则，进一步落实“有保有压”，加强“保民生、保工资、保运转”等重点领域经费保障，压减一般性支出，进一步优化支出结构，严格政府采购管理，规范经费开支标准，提升财政资金使用绩效。</w:t>
            </w:r>
          </w:p>
        </w:tc>
        <w:tc>
          <w:tcPr>
            <w:tcW w:w="1612" w:type="pct"/>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政策引导，服务市场主体和营造发展环境，搞好市场监管，大力促进社会事业发展，发展镇村经济、文化和社会事业，提供公共服务，维护社会稳定，执行本级人民代表大会的决议和上级国家行政机关的决定和命令，发布决定和命令，执行本行政区域内的经济和社会发展计划、预算，管理本行政区域内的经济、教育、科学、文化、卫生、体育事业和财政、民政、公安、司法行政、计划生育等行政工作。 围绕“保、优、延、减、稳”的原则，进一步落实“有保有压”，加强“保民生、保工资、保运转”等重点领域经费保障，压减一般性支出，进一步优化支出结构，严格政府采购管理，规范经费开支标准，提升财政资金使用绩效。</w:t>
            </w:r>
          </w:p>
        </w:tc>
      </w:tr>
      <w:tr>
        <w:tblPrEx>
          <w:shd w:val="clear" w:color="auto" w:fill="auto"/>
          <w:tblCellMar>
            <w:top w:w="0" w:type="dxa"/>
            <w:left w:w="0" w:type="dxa"/>
            <w:bottom w:w="0" w:type="dxa"/>
            <w:right w:w="0" w:type="dxa"/>
          </w:tblCellMar>
        </w:tblPrEx>
        <w:trPr>
          <w:trHeight w:val="600" w:hRule="atLeast"/>
        </w:trPr>
        <w:tc>
          <w:tcPr>
            <w:tcW w:w="5000" w:type="pct"/>
            <w:gridSpan w:val="2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shd w:val="clear" w:color="auto" w:fill="auto"/>
          <w:tblCellMar>
            <w:top w:w="0" w:type="dxa"/>
            <w:left w:w="0" w:type="dxa"/>
            <w:bottom w:w="0" w:type="dxa"/>
            <w:right w:w="0" w:type="dxa"/>
          </w:tblCellMar>
        </w:tblPrEx>
        <w:trPr>
          <w:trHeight w:val="500" w:hRule="atLeast"/>
        </w:trPr>
        <w:tc>
          <w:tcPr>
            <w:tcW w:w="79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34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48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47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51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51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47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23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shd w:val="clear" w:color="auto" w:fill="auto"/>
          <w:tblCellMar>
            <w:top w:w="0" w:type="dxa"/>
            <w:left w:w="0" w:type="dxa"/>
            <w:bottom w:w="0" w:type="dxa"/>
            <w:right w:w="0" w:type="dxa"/>
          </w:tblCellMar>
        </w:tblPrEx>
        <w:trPr>
          <w:trHeight w:val="500" w:hRule="atLeast"/>
        </w:trPr>
        <w:tc>
          <w:tcPr>
            <w:tcW w:w="79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举办群团活动场次</w:t>
            </w: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4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8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7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1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1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47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23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79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选举人大代表人数</w:t>
            </w: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34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48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47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1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1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47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23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79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全年预算支出执行率</w:t>
            </w: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4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48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47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1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1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47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23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79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补助资金按时发放率</w:t>
            </w: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4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48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47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1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1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7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23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79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年度预决算按时公开率</w:t>
            </w: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4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48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47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1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1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7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23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79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补助惠民政策落实率</w:t>
            </w: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4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48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47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1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1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47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23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79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严重精神障碍患者以奖代补人数</w:t>
            </w: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34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8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7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1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1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7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23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79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政务服务居民满意度</w:t>
            </w: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4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48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47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1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1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9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7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3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65" w:type="pct"/>
          <w:trHeight w:val="800" w:hRule="atLeast"/>
        </w:trPr>
        <w:tc>
          <w:tcPr>
            <w:tcW w:w="4834" w:type="pct"/>
            <w:gridSpan w:val="2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shd w:val="clear" w:color="auto" w:fill="auto"/>
          <w:tblCellMar>
            <w:top w:w="0" w:type="dxa"/>
            <w:left w:w="0" w:type="dxa"/>
            <w:bottom w:w="0" w:type="dxa"/>
            <w:right w:w="0" w:type="dxa"/>
          </w:tblCellMar>
        </w:tblPrEx>
        <w:trPr>
          <w:gridAfter w:val="1"/>
          <w:wAfter w:w="165" w:type="pct"/>
          <w:trHeight w:val="860" w:hRule="atLeast"/>
        </w:trPr>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914"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巫溪县尖山镇烟叶基地烤房占地补偿及管护费用（溪烟草组办发〔2023〕7号）</w:t>
            </w:r>
          </w:p>
        </w:tc>
        <w:tc>
          <w:tcPr>
            <w:tcW w:w="539"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81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50023824T000003821034</w:t>
            </w:r>
          </w:p>
        </w:tc>
        <w:tc>
          <w:tcPr>
            <w:tcW w:w="502"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63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46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65" w:type="pct"/>
          <w:trHeight w:val="500" w:hRule="atLeast"/>
        </w:trPr>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914"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512-巫溪县尖山镇人民政府</w:t>
            </w:r>
          </w:p>
        </w:tc>
        <w:tc>
          <w:tcPr>
            <w:tcW w:w="539"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w:t>
            </w:r>
            <w:r>
              <w:rPr>
                <w:rFonts w:hint="eastAsia" w:cs="宋体"/>
                <w:b/>
                <w:i w:val="0"/>
                <w:color w:val="000000"/>
                <w:kern w:val="0"/>
                <w:sz w:val="22"/>
                <w:szCs w:val="22"/>
                <w:u w:val="none"/>
                <w:lang w:val="en-US" w:eastAsia="zh-CN" w:bidi="ar"/>
              </w:rPr>
              <w:t>科</w:t>
            </w:r>
            <w:r>
              <w:rPr>
                <w:rFonts w:hint="eastAsia" w:ascii="宋体" w:hAnsi="宋体" w:eastAsia="宋体" w:cs="宋体"/>
                <w:b/>
                <w:i w:val="0"/>
                <w:color w:val="000000"/>
                <w:kern w:val="0"/>
                <w:sz w:val="22"/>
                <w:szCs w:val="22"/>
                <w:u w:val="none"/>
                <w:lang w:val="en-US" w:eastAsia="zh-CN" w:bidi="ar"/>
              </w:rPr>
              <w:t>室：</w:t>
            </w:r>
          </w:p>
        </w:tc>
        <w:tc>
          <w:tcPr>
            <w:tcW w:w="81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010-基财科</w:t>
            </w:r>
          </w:p>
        </w:tc>
        <w:tc>
          <w:tcPr>
            <w:tcW w:w="502"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63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刘林</w:t>
            </w:r>
          </w:p>
        </w:tc>
        <w:tc>
          <w:tcPr>
            <w:tcW w:w="46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15223536596</w:t>
            </w:r>
          </w:p>
        </w:tc>
      </w:tr>
      <w:tr>
        <w:tblPrEx>
          <w:shd w:val="clear" w:color="auto" w:fill="auto"/>
          <w:tblCellMar>
            <w:top w:w="0" w:type="dxa"/>
            <w:left w:w="0" w:type="dxa"/>
            <w:bottom w:w="0" w:type="dxa"/>
            <w:right w:w="0" w:type="dxa"/>
          </w:tblCellMar>
        </w:tblPrEx>
        <w:trPr>
          <w:gridAfter w:val="1"/>
          <w:wAfter w:w="165" w:type="pct"/>
          <w:trHeight w:val="600" w:hRule="atLeast"/>
        </w:trPr>
        <w:tc>
          <w:tcPr>
            <w:tcW w:w="4834" w:type="pct"/>
            <w:gridSpan w:val="2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shd w:val="clear" w:color="auto" w:fill="auto"/>
          <w:tblCellMar>
            <w:top w:w="0" w:type="dxa"/>
            <w:left w:w="0" w:type="dxa"/>
            <w:bottom w:w="0" w:type="dxa"/>
            <w:right w:w="0" w:type="dxa"/>
          </w:tblCellMar>
        </w:tblPrEx>
        <w:trPr>
          <w:gridAfter w:val="1"/>
          <w:wAfter w:w="165" w:type="pct"/>
          <w:trHeight w:val="500" w:hRule="atLeast"/>
        </w:trPr>
        <w:tc>
          <w:tcPr>
            <w:tcW w:w="100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84"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81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817"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31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46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shd w:val="clear" w:color="auto" w:fill="auto"/>
          <w:tblCellMar>
            <w:top w:w="0" w:type="dxa"/>
            <w:left w:w="0" w:type="dxa"/>
            <w:bottom w:w="0" w:type="dxa"/>
            <w:right w:w="0" w:type="dxa"/>
          </w:tblCellMar>
        </w:tblPrEx>
        <w:trPr>
          <w:gridAfter w:val="1"/>
          <w:wAfter w:w="165" w:type="pct"/>
          <w:trHeight w:val="500" w:hRule="atLeast"/>
        </w:trPr>
        <w:tc>
          <w:tcPr>
            <w:tcW w:w="538"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469"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84"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53,600.00</w:t>
            </w:r>
          </w:p>
        </w:tc>
        <w:tc>
          <w:tcPr>
            <w:tcW w:w="817"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53,600.00</w:t>
            </w:r>
          </w:p>
        </w:tc>
        <w:tc>
          <w:tcPr>
            <w:tcW w:w="31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65" w:type="pct"/>
          <w:trHeight w:val="500" w:hRule="atLeast"/>
        </w:trPr>
        <w:tc>
          <w:tcPr>
            <w:tcW w:w="538"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469"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84"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53,600.00</w:t>
            </w:r>
          </w:p>
        </w:tc>
        <w:tc>
          <w:tcPr>
            <w:tcW w:w="817"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53,600.00</w:t>
            </w:r>
          </w:p>
        </w:tc>
        <w:tc>
          <w:tcPr>
            <w:tcW w:w="31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6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r>
      <w:tr>
        <w:tblPrEx>
          <w:shd w:val="clear" w:color="auto" w:fill="auto"/>
          <w:tblCellMar>
            <w:top w:w="0" w:type="dxa"/>
            <w:left w:w="0" w:type="dxa"/>
            <w:bottom w:w="0" w:type="dxa"/>
            <w:right w:w="0" w:type="dxa"/>
          </w:tblCellMar>
        </w:tblPrEx>
        <w:trPr>
          <w:gridAfter w:val="1"/>
          <w:wAfter w:w="165" w:type="pct"/>
          <w:trHeight w:val="500" w:hRule="atLeast"/>
        </w:trPr>
        <w:tc>
          <w:tcPr>
            <w:tcW w:w="538"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469"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84"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53,600.00</w:t>
            </w:r>
          </w:p>
        </w:tc>
        <w:tc>
          <w:tcPr>
            <w:tcW w:w="817"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53,600.00</w:t>
            </w:r>
          </w:p>
        </w:tc>
        <w:tc>
          <w:tcPr>
            <w:tcW w:w="31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6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65" w:type="pct"/>
          <w:trHeight w:val="600" w:hRule="atLeast"/>
        </w:trPr>
        <w:tc>
          <w:tcPr>
            <w:tcW w:w="4834" w:type="pct"/>
            <w:gridSpan w:val="2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shd w:val="clear" w:color="auto" w:fill="auto"/>
          <w:tblCellMar>
            <w:top w:w="0" w:type="dxa"/>
            <w:left w:w="0" w:type="dxa"/>
            <w:bottom w:w="0" w:type="dxa"/>
            <w:right w:w="0" w:type="dxa"/>
          </w:tblCellMar>
        </w:tblPrEx>
        <w:trPr>
          <w:gridAfter w:val="1"/>
          <w:wAfter w:w="165" w:type="pct"/>
          <w:trHeight w:val="500" w:hRule="atLeast"/>
        </w:trPr>
        <w:tc>
          <w:tcPr>
            <w:tcW w:w="1992" w:type="pct"/>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1635" w:type="pct"/>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1206" w:type="pct"/>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shd w:val="clear" w:color="auto" w:fill="auto"/>
          <w:tblCellMar>
            <w:top w:w="0" w:type="dxa"/>
            <w:left w:w="0" w:type="dxa"/>
            <w:bottom w:w="0" w:type="dxa"/>
            <w:right w:w="0" w:type="dxa"/>
          </w:tblCellMar>
        </w:tblPrEx>
        <w:trPr>
          <w:gridAfter w:val="1"/>
          <w:wAfter w:w="165" w:type="pct"/>
          <w:trHeight w:val="1600" w:hRule="atLeast"/>
        </w:trPr>
        <w:tc>
          <w:tcPr>
            <w:tcW w:w="1992"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及时准确支付烤房占地补偿；有效管护烤房，确保烤房正常运行，保证烤烟产量，发挥长效。</w:t>
            </w:r>
          </w:p>
        </w:tc>
        <w:tc>
          <w:tcPr>
            <w:tcW w:w="1635"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及时准确支付烤房占地补偿；有效管护烤房，确保烤房正常运行，保证烤烟产量，发挥长效。</w:t>
            </w:r>
          </w:p>
        </w:tc>
        <w:tc>
          <w:tcPr>
            <w:tcW w:w="1206"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及时准确支付烤房占地补偿；有效管护烤房，确保烤房正常运行，保证烤烟产量，发挥长效。</w:t>
            </w:r>
          </w:p>
        </w:tc>
      </w:tr>
      <w:tr>
        <w:tblPrEx>
          <w:shd w:val="clear" w:color="auto" w:fill="auto"/>
          <w:tblCellMar>
            <w:top w:w="0" w:type="dxa"/>
            <w:left w:w="0" w:type="dxa"/>
            <w:bottom w:w="0" w:type="dxa"/>
            <w:right w:w="0" w:type="dxa"/>
          </w:tblCellMar>
        </w:tblPrEx>
        <w:trPr>
          <w:gridAfter w:val="1"/>
          <w:wAfter w:w="165" w:type="pct"/>
          <w:trHeight w:val="600" w:hRule="atLeast"/>
        </w:trPr>
        <w:tc>
          <w:tcPr>
            <w:tcW w:w="4834" w:type="pct"/>
            <w:gridSpan w:val="2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shd w:val="clear" w:color="auto" w:fill="auto"/>
          <w:tblCellMar>
            <w:top w:w="0" w:type="dxa"/>
            <w:left w:w="0" w:type="dxa"/>
            <w:bottom w:w="0" w:type="dxa"/>
            <w:right w:w="0" w:type="dxa"/>
          </w:tblCellMar>
        </w:tblPrEx>
        <w:trPr>
          <w:gridAfter w:val="1"/>
          <w:wAfter w:w="165" w:type="pct"/>
          <w:trHeight w:val="500" w:hRule="atLeast"/>
        </w:trPr>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46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44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539"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502"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31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31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46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shd w:val="clear" w:color="auto" w:fill="auto"/>
          <w:tblCellMar>
            <w:top w:w="0" w:type="dxa"/>
            <w:left w:w="0" w:type="dxa"/>
            <w:bottom w:w="0" w:type="dxa"/>
            <w:right w:w="0" w:type="dxa"/>
          </w:tblCellMar>
        </w:tblPrEx>
        <w:trPr>
          <w:gridAfter w:val="1"/>
          <w:wAfter w:w="165" w:type="pct"/>
          <w:trHeight w:val="500" w:hRule="atLeast"/>
        </w:trPr>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管护烤房数量</w:t>
            </w:r>
          </w:p>
        </w:tc>
        <w:tc>
          <w:tcPr>
            <w:tcW w:w="46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44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39"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2"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1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31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46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65" w:type="pct"/>
          <w:trHeight w:val="500" w:hRule="atLeast"/>
        </w:trPr>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烤房占地补偿户数</w:t>
            </w:r>
          </w:p>
        </w:tc>
        <w:tc>
          <w:tcPr>
            <w:tcW w:w="46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44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39"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2"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1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31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46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65" w:type="pct"/>
          <w:trHeight w:val="660" w:hRule="atLeast"/>
        </w:trPr>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烤烟产业带动农户收入增加</w:t>
            </w:r>
          </w:p>
        </w:tc>
        <w:tc>
          <w:tcPr>
            <w:tcW w:w="46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元/亩</w:t>
            </w:r>
          </w:p>
        </w:tc>
        <w:tc>
          <w:tcPr>
            <w:tcW w:w="44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39"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2"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1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1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6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65" w:type="pct"/>
          <w:trHeight w:val="500" w:hRule="atLeast"/>
        </w:trPr>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46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4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39"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2"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1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1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6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jc w:val="both"/>
        <w:textAlignment w:val="auto"/>
        <w:rPr>
          <w:rFonts w:hint="eastAsia" w:ascii="方正仿宋_GBK" w:hAnsi="方正仿宋_GBK" w:eastAsia="方正仿宋_GBK" w:cs="方正仿宋_GBK"/>
          <w:sz w:val="32"/>
          <w:szCs w:val="32"/>
          <w:highlight w:val="yellow"/>
          <w:shd w:val="clear" w:color="auto" w:fill="FFFFFF"/>
          <w:lang w:eastAsia="zh-CN"/>
        </w:rPr>
      </w:pP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pPr>
        <w:pStyle w:val="11"/>
        <w:numPr>
          <w:ilvl w:val="0"/>
          <w:numId w:val="0"/>
        </w:numPr>
        <w:autoSpaceDE w:val="0"/>
        <w:rPr>
          <w:rFonts w:hint="eastAsia" w:ascii="方正仿宋_GBK" w:hAnsi="方正仿宋_GBK" w:eastAsia="方正仿宋_GBK" w:cs="方正仿宋_GBK"/>
          <w:sz w:val="32"/>
          <w:szCs w:val="32"/>
          <w:shd w:val="clear" w:color="auto" w:fill="FFFFFF"/>
          <w:lang w:val="en-US" w:eastAsia="zh-CN" w:bidi="ar-SA"/>
        </w:rPr>
      </w:pPr>
      <w:bookmarkStart w:id="0" w:name="_GoBack"/>
      <w:bookmarkEnd w:id="0"/>
      <w:r>
        <w:rPr>
          <w:rFonts w:hint="eastAsia" w:ascii="方正仿宋_GBK" w:hAnsi="方正仿宋_GBK" w:eastAsia="方正仿宋_GBK" w:cs="方正仿宋_GBK"/>
          <w:sz w:val="32"/>
          <w:szCs w:val="32"/>
          <w:shd w:val="clear" w:color="auto" w:fill="FFFFFF"/>
          <w:lang w:val="en-US" w:eastAsia="zh-CN" w:bidi="ar-SA"/>
        </w:rPr>
        <w:t>我部门未组织开展绩效评价。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6"/>
        <w:shd w:val="clear" w:color="auto" w:fill="FFFFFF"/>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县财政局未委托第三方对我部门开展绩效评价。</w:t>
      </w:r>
    </w:p>
    <w:p>
      <w:pPr>
        <w:pStyle w:val="6"/>
        <w:shd w:val="clear" w:color="auto" w:fill="FFFFFF"/>
        <w:ind w:firstLine="321" w:firstLineChars="1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ind w:firstLine="321" w:firstLineChars="1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023-51637016</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val="en-US" w:eastAsia="zh-CN"/>
        </w:rPr>
        <w:t>联系人：曾光兵</w:t>
      </w:r>
    </w:p>
    <w:p>
      <w:pPr>
        <w:pStyle w:val="11"/>
        <w:autoSpaceDE w:val="0"/>
        <w:ind w:firstLine="0" w:firstLineChars="0"/>
        <w:rPr>
          <w:rStyle w:val="10"/>
          <w:rFonts w:ascii="方正仿宋_GBK" w:hAnsi="方正仿宋_GBK" w:eastAsia="方正仿宋_GBK" w:cs="方正仿宋_GBK"/>
          <w:sz w:val="32"/>
          <w:szCs w:val="32"/>
          <w:shd w:val="clear" w:color="auto" w:fill="FFFF00"/>
        </w:rPr>
      </w:pP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u w:color="auto"/>
              </w:rPr>
              <w:t>重庆市巫溪县尖山镇人民政府</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4,361.60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694.61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31.53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262.59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34.23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56.48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3,166.42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65.96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29.78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4,361.60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4,361.60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4,361.60</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4,361.60</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u w:color="auto"/>
              </w:rPr>
              <w:t>重庆市巫溪县尖山镇人民政府</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4,361.60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4,361.60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694.61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694.61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680.43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680.43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406.57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406.57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群众团体事务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其他群众团体事务支出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31.53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31.53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31.53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31.53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31.53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31.53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群众体育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262.59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262.59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45.33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45.33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204.34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204.34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56.48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56.48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天然林保护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53.48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53.48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3,166.42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3,166.42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18.56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18.56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对高校毕业生到基层任职补助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2,900.59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2,900.59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1,210.29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1,210.29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1,281.06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1,281.06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409.24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409.24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247.28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247.28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247.28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247.28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58.21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58.21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54"/>
        <w:gridCol w:w="3630"/>
        <w:gridCol w:w="1654"/>
        <w:gridCol w:w="1654"/>
        <w:gridCol w:w="1654"/>
        <w:gridCol w:w="1638"/>
        <w:gridCol w:w="1638"/>
        <w:gridCol w:w="1700"/>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重庆市巫溪县尖山镇人民政府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4,361.60</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953.92</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3,407.68</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694.61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657.14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37.47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680.43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657.14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23.29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406.57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406.57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23.29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23.29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250.57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250.57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群众团体事务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其他群众团体事务支出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31.53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31.53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31.53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31.53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31.53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31.53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群众体育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262.59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204.34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58.25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45.33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45.33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45.33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204.34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204.34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53.66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53.66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13.55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13.55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56.48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56.48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天然林保护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53.48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53.48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53.48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3,166.42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3,166.42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18.56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18.56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对高校毕业生到基层任职补助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2,900.59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2,900.59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1,210.29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1,210.29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1,281.06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1,281.06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409.24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409.24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247.28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247.28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247.28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247.28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58.21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58.21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58.21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58.21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58.21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29.78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29.78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29.78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29.78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29.78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重庆市巫溪县尖山镇人民政府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4,361.60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694.61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694.61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31.53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31.53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262.59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262.59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34.23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34.23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56.48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56.48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3,166.42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3,166.42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65.96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65.96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29.78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29.78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4,361.60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4,361.60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4,361.60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4,361.60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4,361.60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4,361.60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27"/>
        <w:gridCol w:w="3630"/>
        <w:gridCol w:w="3283"/>
        <w:gridCol w:w="3283"/>
        <w:gridCol w:w="3299"/>
      </w:tblGrid>
      <w:tr>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重庆市巫溪县尖山镇人民政府</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4,361.60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953.92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3,407.68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694.61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657.14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37.47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6.10</w:t>
            </w:r>
            <w:r>
              <w:rPr>
                <w:b/>
                <w:color w:val="000000"/>
                <w:sz w:val="20"/>
                <w:u w:color="auto"/>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680.43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657.14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23.29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406.57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406.57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23.29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23.29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250.57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250.57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群众团体事务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其他群众团体事务支出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31.53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31.53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31.53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31.53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31.53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31.53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群众体育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262.59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204.34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58.25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45.33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45.33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45.33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45.33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204.34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204.34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53.66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53.66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29.64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29.64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71.05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71.05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49.99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49.99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9.18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9.18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34.23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34.23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34.23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34.23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20.68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20.68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13.55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13.55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56.48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56.48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天然林保护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53.48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53.48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53.48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53.48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3,166.42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3,166.42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18.56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18.56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对高校毕业生到基层任职补助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10.56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10.56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2,900.59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2,900.59</w:t>
            </w:r>
            <w:r>
              <w:rPr>
                <w:b/>
                <w:color w:val="000000"/>
                <w:sz w:val="20"/>
                <w:u w:color="auto"/>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1,210.29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1,210.29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1,281.06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1,281.06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409.24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409.24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247.28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247.28</w:t>
            </w:r>
            <w:r>
              <w:rPr>
                <w:b/>
                <w:color w:val="000000"/>
                <w:sz w:val="20"/>
                <w:u w:color="auto"/>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247.28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247.28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65.96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58.21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7.75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7.75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7.75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7.75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7.75</w:t>
            </w:r>
            <w:r>
              <w:rPr>
                <w:color w:val="000000"/>
                <w:sz w:val="20"/>
                <w:u w:color="auto"/>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58.21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58.21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58.21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58.21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29.78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29.78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29.78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29.78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29.78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29.78</w:t>
            </w:r>
            <w:r>
              <w:rPr>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重庆市巫溪县尖山镇人民政府</w:t>
            </w: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755.65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116.37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172.57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13.80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122.99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108.27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136.59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71.05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49.99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34.23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58.21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81.90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78.20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23.29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26.04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837.55</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116.37</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47"/>
        <w:gridCol w:w="3077"/>
        <w:gridCol w:w="1701"/>
        <w:gridCol w:w="1701"/>
        <w:gridCol w:w="1701"/>
        <w:gridCol w:w="1701"/>
        <w:gridCol w:w="1765"/>
        <w:gridCol w:w="182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重庆市巫溪县尖山镇人民政府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重庆市巫溪县尖山镇人民政府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重庆市巫溪县尖山镇人民政府</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86.44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15.53</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15.53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86.44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7.53</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7.53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7.53</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7.53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8.00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1,469.28</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2,000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1,469.28</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1,469.28</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1,469.28</w:t>
            </w: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14.10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9" o:spid="_x0000_s102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F87F98"/>
    <w:multiLevelType w:val="singleLevel"/>
    <w:tmpl w:val="B1F87F98"/>
    <w:lvl w:ilvl="0" w:tentative="0">
      <w:start w:val="6"/>
      <w:numFmt w:val="chineseCounting"/>
      <w:suff w:val="nothing"/>
      <w:lvlText w:val="（%1）"/>
      <w:lvlJc w:val="left"/>
      <w:rPr>
        <w:rFonts w:hint="eastAsia"/>
      </w:rPr>
    </w:lvl>
  </w:abstractNum>
  <w:abstractNum w:abstractNumId="1">
    <w:nsid w:val="D42607D4"/>
    <w:multiLevelType w:val="singleLevel"/>
    <w:tmpl w:val="D42607D4"/>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5A5965"/>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7">
    <w:name w:val="30"/>
    <w:basedOn w:val="9"/>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4095</Words>
  <Characters>23348</Characters>
  <Lines>194</Lines>
  <Paragraphs>54</Paragraphs>
  <TotalTime>0</TotalTime>
  <ScaleCrop>false</ScaleCrop>
  <LinksUpToDate>false</LinksUpToDate>
  <CharactersWithSpaces>27389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小岛</cp:lastModifiedBy>
  <dcterms:modified xsi:type="dcterms:W3CDTF">2024-09-27T03:06:23Z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BB46EABDBB2749749395447164B066B3_12</vt:lpwstr>
  </property>
</Properties>
</file>