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仿宋简体" w:eastAsia="方正仿宋简体"/>
          <w:sz w:val="32"/>
          <w:szCs w:val="32"/>
        </w:rPr>
      </w:pPr>
    </w:p>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bookmarkStart w:id="0" w:name="_GoBack"/>
            <w:bookmarkEnd w:id="0"/>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巫溪县兰英乡人民政府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617.2</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187.2</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81.6</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11.8</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二十、粮油物资储备支出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617.2</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color w:val="000000"/>
                <w:kern w:val="0"/>
                <w:sz w:val="22"/>
                <w:szCs w:val="22"/>
              </w:rPr>
              <w:t>522.2</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95.0</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617.2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color w:val="000000"/>
                <w:kern w:val="0"/>
                <w:sz w:val="22"/>
                <w:szCs w:val="22"/>
              </w:rPr>
              <w:t>617.2</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131"/>
        <w:gridCol w:w="53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hint="eastAsia" w:ascii="华文中宋" w:hAnsi="华文中宋" w:eastAsia="华文中宋" w:cs="宋体"/>
                <w:kern w:val="0"/>
                <w:sz w:val="42"/>
                <w:szCs w:val="42"/>
              </w:rPr>
              <w:t>巫溪县兰英乡人民政府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13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13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13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617.2</w:t>
            </w:r>
          </w:p>
        </w:tc>
        <w:tc>
          <w:tcPr>
            <w:tcW w:w="1605"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 xml:space="preserve">617.2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187.2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187.2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人大事务</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9.1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9.1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2010108</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代表工作</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政府办公厅（室）及相关机构事务</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141.1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141.1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135.7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135.7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2010399</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5.4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5.4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党委办公厅（室）及相关机构事务</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106.6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106.6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人力资源和社会保障管理事务</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2080199</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其他人力资源和社会保障管理事务支出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14.7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14.7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62"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2080803</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在乡复员、退伍军人生活补助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9.3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9.3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2080805</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义务兵优待</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2.4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2.4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社会福利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自然灾害生活救助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31.0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31.0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中央自然灾害生活补助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26.0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26.0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2081502</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地方自然灾害生活补助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54"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临时救助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3.5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3.5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临时救助支出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2082002</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特困人员供养</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15.1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15.1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城市特困人员供养支出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2082102</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农村五保供养支出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其他生活救助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12.1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12.1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其他城市生活救助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2082502</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6.1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6.1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11.8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11.8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医疗保障</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11.8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11.8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8.4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8.4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2100502</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2.6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2.6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2100504</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0.9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0.9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农林水支出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294.5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294.5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52.8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52.8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2130104</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37.4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37.4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2130152</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对高校毕业生到基层任职补助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15.4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15.4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扶贫</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177.6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177.6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2130504</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农村基础设施建设</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176.6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176.6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2130599</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其他扶贫支出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农村综合改革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64.0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64.0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对村级一事一议的补助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21.4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21.4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2130705</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对村民委员会和村党支部的补助</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33.9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33.9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2130799</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其他农村综合改革支出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8.8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8.8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商业服务业等支出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商业流通事务</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2160299</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其他商业流通事务支出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国土海洋气象等支出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国土资源事务</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2200111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地质灾害防治</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36"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5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4"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粮油物资储备支出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04"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粮油事务</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84"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2220115</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粮食风险基金</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4"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彩票公益金及对应专项债务收入安排的支出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2296002</w:t>
            </w:r>
          </w:p>
        </w:tc>
        <w:tc>
          <w:tcPr>
            <w:tcW w:w="3769"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用于社会福利的彩票公益金支出</w:t>
            </w:r>
          </w:p>
        </w:tc>
        <w:tc>
          <w:tcPr>
            <w:tcW w:w="171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60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3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3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p>
    <w:tbl>
      <w:tblPr>
        <w:tblStyle w:val="6"/>
        <w:tblW w:w="13993"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524"/>
        <w:gridCol w:w="245"/>
        <w:gridCol w:w="541"/>
        <w:gridCol w:w="354"/>
        <w:gridCol w:w="1086"/>
        <w:gridCol w:w="20"/>
        <w:gridCol w:w="276"/>
        <w:gridCol w:w="810"/>
        <w:gridCol w:w="169"/>
        <w:gridCol w:w="127"/>
      </w:tblGrid>
      <w:tr>
        <w:tblPrEx>
          <w:tblLayout w:type="fixed"/>
          <w:tblCellMar>
            <w:top w:w="0" w:type="dxa"/>
            <w:left w:w="108" w:type="dxa"/>
            <w:bottom w:w="0" w:type="dxa"/>
            <w:right w:w="108" w:type="dxa"/>
          </w:tblCellMar>
        </w:tblPrEx>
        <w:trPr>
          <w:gridAfter w:val="2"/>
          <w:wAfter w:w="296" w:type="dxa"/>
          <w:trHeight w:val="1518" w:hRule="exact"/>
        </w:trPr>
        <w:tc>
          <w:tcPr>
            <w:tcW w:w="13697" w:type="dxa"/>
            <w:gridSpan w:val="18"/>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hint="eastAsia" w:ascii="华文中宋" w:hAnsi="华文中宋" w:eastAsia="华文中宋" w:cs="宋体"/>
                <w:kern w:val="0"/>
                <w:sz w:val="42"/>
                <w:szCs w:val="42"/>
              </w:rPr>
              <w:t>巫溪县兰英乡人民政府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p>
          <w:p>
            <w:pPr>
              <w:widowControl/>
              <w:jc w:val="center"/>
              <w:rPr>
                <w:rFonts w:ascii="华文中宋" w:hAnsi="华文中宋" w:eastAsia="华文中宋" w:cs="宋体"/>
                <w:kern w:val="0"/>
                <w:sz w:val="42"/>
                <w:szCs w:val="4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2"/>
          <w:wAfter w:w="296"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389" w:type="dxa"/>
            <w:gridSpan w:val="2"/>
            <w:tcBorders>
              <w:top w:val="nil"/>
              <w:left w:val="nil"/>
              <w:bottom w:val="nil"/>
              <w:right w:val="nil"/>
            </w:tcBorders>
            <w:vAlign w:val="center"/>
          </w:tcPr>
          <w:p>
            <w:pPr>
              <w:widowControl/>
              <w:jc w:val="center"/>
              <w:rPr>
                <w:rFonts w:ascii="宋体" w:cs="宋体"/>
                <w:color w:val="000000"/>
                <w:kern w:val="0"/>
                <w:sz w:val="24"/>
              </w:rPr>
            </w:pPr>
          </w:p>
        </w:tc>
        <w:tc>
          <w:tcPr>
            <w:tcW w:w="786"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06"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389"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786"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106"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2"/>
          <w:wAfter w:w="296" w:type="dxa"/>
          <w:trHeight w:val="312" w:hRule="atLeas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8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8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8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8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211"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8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8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522.2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342.8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179.4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187.2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187.2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人大事务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9.1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9.1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2010108</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代表工作</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政府办公厅（室）及相关机构事务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141.1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141.1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135.7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135.7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2010399</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5.4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5.4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党委办公厅（室）及相关机构事务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81.6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44.5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37.1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人力资源和社会保障管理事务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2080199</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其他人力资源和社会保障管理事务支出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14.7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14.7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3.0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3.0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2080803</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在乡复员、退伍军人生活补助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9.3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9.3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2080805</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义务兵优待</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2.4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2.4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社会福利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自然灾害生活救助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中央自然灾害生活补助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临时救助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3.5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3.5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临时救助支出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2082002</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特困人员供养</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15.1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15.1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城市特困人员供养支出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2082102</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农村五保供养支出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其他生活救助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12.1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12.1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其他城市生活救助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2082502</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6.1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6.1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11.8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10.9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0.9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医疗保障</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11.8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10.9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0.9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8.4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8.4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2100502</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2.6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2.6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2100504</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0.9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0.9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农林水支出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224.5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86.7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137.8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52.8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52.8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2130104</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37.4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37.4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2130152</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对高校毕业生到基层任职补助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15.4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15.4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扶贫</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117.6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117.6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2130504</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农村基础设施建设</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116.6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116.6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2130599</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其他扶贫支出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农村综合改革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54.0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33.9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20.2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对村级一事一议的补助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11.4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11.4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2130705</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对村民委员会和村党支部的补助</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33.9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33.9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2130799</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其他农村综合改革支出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8.8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8.8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商业服务业等支出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商业流通事务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2160299</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其他商业流通事务支出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国土海洋气象等支出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国土资源事务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2200111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地质灾害防治</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粮油物资储备支出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2220115</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粮食风险基金</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彩票公益金及对应专项债务收入安排的支出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2296002</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用于社会福利的彩票公益金支出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650" w:type="dxa"/>
            <w:gridSpan w:val="3"/>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187.2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187.2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人大事务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9.1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9.1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2010108</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代表工作</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政府办公厅（室）及相关机构事务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141.1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141.1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135.7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135.7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2010399</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5.4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5.4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党委办公厅（室）及相关机构事务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81.6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44.5 </w:t>
            </w:r>
          </w:p>
        </w:tc>
        <w:tc>
          <w:tcPr>
            <w:tcW w:w="1389"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37.1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人力资源和社会保障管理事务</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2080199</w:t>
            </w:r>
          </w:p>
        </w:tc>
        <w:tc>
          <w:tcPr>
            <w:tcW w:w="399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其他人力资源和社会保障管理事务支出</w:t>
            </w:r>
          </w:p>
        </w:tc>
        <w:tc>
          <w:tcPr>
            <w:tcW w:w="1830"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650" w:type="dxa"/>
            <w:gridSpan w:val="3"/>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389"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83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8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8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27" w:type="dxa"/>
          <w:trHeight w:val="420" w:hRule="atLeast"/>
        </w:trPr>
        <w:tc>
          <w:tcPr>
            <w:tcW w:w="13866" w:type="dxa"/>
            <w:gridSpan w:val="19"/>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4"/>
          <w:wAfter w:w="1382"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巫溪县兰英乡人民政府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617.2</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87.2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2.0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81.6</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81.6</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11.8</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11.8</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224.5</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13.5</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二十、粮油物资储备支出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二十一、其他支出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617.2</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522.2</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95.0</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617.2</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617.2</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巫溪县兰英乡人民政府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 xml:space="preserve">522.2 </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 xml:space="preserve">342.8 </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 xml:space="preserve">179.4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187.2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187.2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人大事务</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9.1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9.1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2010108</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代表工作</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政府办公厅（室）及相关机构事务</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141.1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141.1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135.7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135.7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2010399</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5.4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5.4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8.7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党委办公厅（室）及相关机构事务</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25.9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81.6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44.5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37.1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人力资源和社会保障管理事务</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2080199</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其他人力资源和社会保障管理事务支出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8.9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20.9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14.7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14.7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3.0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3.0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2080803</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在乡复员、退伍军人生活补助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9.3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9.3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2080805</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义务兵优待</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2.4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2.4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社会福利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0.4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自然灾害生活救助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中央自然灾害生活补助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临时救助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3.5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3.5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临时救助支出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2.5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2082002</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特困人员供养</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15.1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15.1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城市特困人员供养支出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2082102</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农村五保供养支出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14.1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其他生活救助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12.1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12.1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其他城市生活救助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6.0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2082502</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6.1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6.1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11.8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10.9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0.9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医疗保障</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11.8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10.9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0.9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8.4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8.4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2100502</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2.6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2.6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2100504</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0.9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0.9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农林水支出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224.5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86.7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137.8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52.8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52.8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2130104</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37.4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37.4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2130152</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对高校毕业生到基层任职补助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15.4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15.4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扶贫</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117.6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117.6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2130504</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农村基础设施建设</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116.6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116.6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2130599</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其他扶贫支出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1.0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农村综合改革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54.0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33.9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20.2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对村级一事一议的补助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11.4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11.4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2130705</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对村民委员会和村党支部的补助</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33.9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33.9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2130799</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其他农村综合改革支出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8.8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8.8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商业服务业等支出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商业流通事务</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2160299</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其他商业流通事务支出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1.2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国土海洋气象等支出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国土资源事务</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2200111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地质灾害防治</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1695"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13.5 </w:t>
            </w:r>
          </w:p>
        </w:tc>
        <w:tc>
          <w:tcPr>
            <w:tcW w:w="2075" w:type="dxa"/>
            <w:gridSpan w:val="2"/>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粮油物资储备支出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粮油事务</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2220115</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粮食风险基金</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0.2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彩票公益金及对应专项债务收入安排的支出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2296002</w:t>
            </w:r>
          </w:p>
        </w:tc>
        <w:tc>
          <w:tcPr>
            <w:tcW w:w="5980" w:type="dxa"/>
            <w:gridSpan w:val="3"/>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用于社会福利的彩票公益金支出</w:t>
            </w:r>
          </w:p>
        </w:tc>
        <w:tc>
          <w:tcPr>
            <w:tcW w:w="1421" w:type="dxa"/>
            <w:gridSpan w:val="4"/>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c>
          <w:tcPr>
            <w:tcW w:w="1695" w:type="dxa"/>
            <w:gridSpan w:val="4"/>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bottom"/>
          </w:tcPr>
          <w:p>
            <w:pPr>
              <w:jc w:val="right"/>
              <w:rPr>
                <w:color w:val="000000"/>
                <w:sz w:val="22"/>
                <w:szCs w:val="22"/>
              </w:rPr>
            </w:pPr>
            <w:r>
              <w:rPr>
                <w:color w:val="000000"/>
                <w:sz w:val="22"/>
                <w:szCs w:val="22"/>
              </w:rPr>
              <w:t xml:space="preserve">2.0 </w:t>
            </w: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363"/>
        <w:gridCol w:w="1132"/>
        <w:gridCol w:w="92"/>
        <w:gridCol w:w="1093"/>
        <w:gridCol w:w="480"/>
        <w:gridCol w:w="1871"/>
      </w:tblGrid>
      <w:tr>
        <w:tblPrEx>
          <w:tblLayout w:type="fixed"/>
          <w:tblCellMar>
            <w:top w:w="0" w:type="dxa"/>
            <w:left w:w="108" w:type="dxa"/>
            <w:bottom w:w="0" w:type="dxa"/>
            <w:right w:w="108" w:type="dxa"/>
          </w:tblCellMar>
        </w:tblPrEx>
        <w:trPr>
          <w:trHeight w:val="1396" w:hRule="exact"/>
        </w:trPr>
        <w:tc>
          <w:tcPr>
            <w:tcW w:w="9557" w:type="dxa"/>
            <w:gridSpan w:val="7"/>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巫溪县兰英乡人民政府一般公共预算财政拨款基本支出决算表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gridSpan w:val="2"/>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5"/>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224"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57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224" w:type="dxa"/>
            <w:gridSpan w:val="2"/>
            <w:tcBorders>
              <w:top w:val="nil"/>
              <w:left w:val="nil"/>
              <w:bottom w:val="single" w:color="auto" w:sz="4" w:space="0"/>
              <w:right w:val="nil"/>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342.8 </w:t>
            </w:r>
          </w:p>
        </w:tc>
        <w:tc>
          <w:tcPr>
            <w:tcW w:w="1573" w:type="dxa"/>
            <w:gridSpan w:val="2"/>
            <w:tcBorders>
              <w:top w:val="nil"/>
              <w:left w:val="single" w:color="auto" w:sz="4" w:space="0"/>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250.3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92.5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224" w:type="dxa"/>
            <w:gridSpan w:val="2"/>
            <w:tcBorders>
              <w:top w:val="nil"/>
              <w:left w:val="nil"/>
              <w:bottom w:val="single" w:color="auto" w:sz="4" w:space="0"/>
              <w:right w:val="nil"/>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152.0 </w:t>
            </w:r>
          </w:p>
        </w:tc>
        <w:tc>
          <w:tcPr>
            <w:tcW w:w="1573" w:type="dxa"/>
            <w:gridSpan w:val="2"/>
            <w:tcBorders>
              <w:top w:val="nil"/>
              <w:left w:val="single" w:color="auto" w:sz="4" w:space="0"/>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152.0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基本工资</w:t>
            </w:r>
          </w:p>
        </w:tc>
        <w:tc>
          <w:tcPr>
            <w:tcW w:w="1224" w:type="dxa"/>
            <w:gridSpan w:val="2"/>
            <w:tcBorders>
              <w:top w:val="nil"/>
              <w:left w:val="nil"/>
              <w:bottom w:val="single" w:color="auto" w:sz="4" w:space="0"/>
              <w:right w:val="nil"/>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47.0 </w:t>
            </w:r>
          </w:p>
        </w:tc>
        <w:tc>
          <w:tcPr>
            <w:tcW w:w="1573" w:type="dxa"/>
            <w:gridSpan w:val="2"/>
            <w:tcBorders>
              <w:top w:val="nil"/>
              <w:left w:val="single" w:color="auto" w:sz="4" w:space="0"/>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47.0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津贴补贴</w:t>
            </w:r>
          </w:p>
        </w:tc>
        <w:tc>
          <w:tcPr>
            <w:tcW w:w="1224" w:type="dxa"/>
            <w:gridSpan w:val="2"/>
            <w:tcBorders>
              <w:top w:val="nil"/>
              <w:left w:val="nil"/>
              <w:bottom w:val="single" w:color="auto" w:sz="4" w:space="0"/>
              <w:right w:val="nil"/>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53.9 </w:t>
            </w:r>
          </w:p>
        </w:tc>
        <w:tc>
          <w:tcPr>
            <w:tcW w:w="1573" w:type="dxa"/>
            <w:gridSpan w:val="2"/>
            <w:tcBorders>
              <w:top w:val="nil"/>
              <w:left w:val="single" w:color="auto" w:sz="4" w:space="0"/>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53.9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奖金</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8.5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8.5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社会保障缴费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10.9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10.9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绩效工资</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9.6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9.6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其他工资福利支出</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22.0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22.0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224" w:type="dxa"/>
            <w:gridSpan w:val="2"/>
            <w:tcBorders>
              <w:top w:val="nil"/>
              <w:left w:val="nil"/>
              <w:bottom w:val="single" w:color="auto" w:sz="4" w:space="0"/>
              <w:right w:val="single" w:color="auto" w:sz="4" w:space="0"/>
            </w:tcBorders>
            <w:vAlign w:val="bottom"/>
          </w:tcPr>
          <w:p>
            <w:pPr>
              <w:rPr>
                <w:rFonts w:ascii="仿宋" w:hAnsi="仿宋" w:eastAsia="仿宋" w:cs="Arial"/>
                <w:color w:val="000000"/>
                <w:sz w:val="22"/>
                <w:szCs w:val="22"/>
              </w:rPr>
            </w:pPr>
            <w:r>
              <w:rPr>
                <w:rFonts w:hint="eastAsia" w:ascii="仿宋" w:hAnsi="仿宋" w:eastAsia="仿宋" w:cs="Arial"/>
                <w:color w:val="000000"/>
                <w:sz w:val="22"/>
                <w:szCs w:val="22"/>
              </w:rPr>
              <w:t xml:space="preserve">98.3 </w:t>
            </w:r>
          </w:p>
        </w:tc>
        <w:tc>
          <w:tcPr>
            <w:tcW w:w="1573" w:type="dxa"/>
            <w:gridSpan w:val="2"/>
            <w:tcBorders>
              <w:top w:val="nil"/>
              <w:left w:val="nil"/>
              <w:bottom w:val="single" w:color="auto" w:sz="4" w:space="0"/>
              <w:right w:val="single" w:color="auto" w:sz="4" w:space="0"/>
            </w:tcBorders>
            <w:vAlign w:val="bottom"/>
          </w:tcPr>
          <w:p>
            <w:pPr>
              <w:rPr>
                <w:rFonts w:ascii="仿宋" w:hAnsi="仿宋" w:eastAsia="仿宋" w:cs="Arial"/>
                <w:color w:val="000000"/>
                <w:sz w:val="22"/>
                <w:szCs w:val="22"/>
              </w:rPr>
            </w:pPr>
            <w:r>
              <w:rPr>
                <w:rFonts w:hint="eastAsia" w:ascii="仿宋" w:hAnsi="仿宋" w:eastAsia="仿宋" w:cs="Arial"/>
                <w:color w:val="000000"/>
                <w:sz w:val="22"/>
                <w:szCs w:val="22"/>
              </w:rPr>
              <w:t xml:space="preserve">98.3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rPr>
              <w:t>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退休费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20.9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20.9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rPr>
              <w:t>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抚恤金</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生活补助</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64.0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64.0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救济费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13.5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13.5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92.5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92.5 </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办公费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44.8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44.8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电费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0.4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0.4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邮电费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0.3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0.3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差旅费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10.4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10.4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维护费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会议费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11.9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11.9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培训费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公务接待费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11.4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11.4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福利费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3.2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3.2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公务用车运行维护费</w:t>
            </w:r>
          </w:p>
        </w:tc>
        <w:tc>
          <w:tcPr>
            <w:tcW w:w="1224"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11.2 </w:t>
            </w:r>
          </w:p>
        </w:tc>
        <w:tc>
          <w:tcPr>
            <w:tcW w:w="1573" w:type="dxa"/>
            <w:gridSpan w:val="2"/>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w:t>
            </w: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Arial"/>
                <w:color w:val="000000"/>
                <w:sz w:val="22"/>
                <w:szCs w:val="22"/>
              </w:rPr>
            </w:pPr>
            <w:r>
              <w:rPr>
                <w:rFonts w:hint="eastAsia" w:ascii="仿宋" w:hAnsi="仿宋" w:eastAsia="仿宋" w:cs="Arial"/>
                <w:color w:val="000000"/>
                <w:sz w:val="22"/>
                <w:szCs w:val="22"/>
              </w:rPr>
              <w:t xml:space="preserve">11.2 </w:t>
            </w:r>
          </w:p>
        </w:tc>
      </w:tr>
      <w:tr>
        <w:tblPrEx>
          <w:tblLayout w:type="fixed"/>
          <w:tblCellMar>
            <w:top w:w="0" w:type="dxa"/>
            <w:left w:w="108" w:type="dxa"/>
            <w:bottom w:w="0" w:type="dxa"/>
            <w:right w:w="108" w:type="dxa"/>
          </w:tblCellMar>
        </w:tblPrEx>
        <w:trPr>
          <w:trHeight w:val="720" w:hRule="atLeast"/>
        </w:trPr>
        <w:tc>
          <w:tcPr>
            <w:tcW w:w="9557" w:type="dxa"/>
            <w:gridSpan w:val="7"/>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7"/>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巫溪县兰英乡人民政府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rPr>
              <w:t>29</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2.0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2.0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2.0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2.0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xml:space="preserve"> 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2.0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2.0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政府采购情况表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编制单位：兰英乡人民政府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cs="宋体"/>
                <w:color w:val="000000"/>
                <w:kern w:val="0"/>
                <w:sz w:val="28"/>
                <w:szCs w:val="28"/>
              </w:rPr>
              <w:t>3.8</w:t>
            </w:r>
          </w:p>
        </w:tc>
        <w:tc>
          <w:tcPr>
            <w:tcW w:w="126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cs="宋体"/>
                <w:color w:val="000000"/>
                <w:kern w:val="0"/>
                <w:sz w:val="28"/>
                <w:szCs w:val="28"/>
              </w:rPr>
              <w:t>3.8</w:t>
            </w:r>
          </w:p>
        </w:tc>
        <w:tc>
          <w:tcPr>
            <w:tcW w:w="207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p>
        </w:tc>
        <w:tc>
          <w:tcPr>
            <w:tcW w:w="1237"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cs="宋体"/>
                <w:color w:val="000000"/>
                <w:kern w:val="0"/>
                <w:sz w:val="28"/>
                <w:szCs w:val="28"/>
              </w:rPr>
              <w:t>3.8</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cs="宋体"/>
                <w:color w:val="000000"/>
                <w:kern w:val="0"/>
                <w:sz w:val="28"/>
                <w:szCs w:val="28"/>
              </w:rPr>
              <w:t>3.8</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cs="宋体"/>
                <w:color w:val="000000"/>
                <w:kern w:val="0"/>
                <w:sz w:val="28"/>
                <w:szCs w:val="28"/>
              </w:rPr>
              <w:t>3.8</w:t>
            </w:r>
          </w:p>
        </w:tc>
        <w:tc>
          <w:tcPr>
            <w:tcW w:w="126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cs="宋体"/>
                <w:color w:val="000000"/>
                <w:kern w:val="0"/>
                <w:sz w:val="28"/>
                <w:szCs w:val="28"/>
              </w:rPr>
              <w:t>3.8</w:t>
            </w:r>
          </w:p>
        </w:tc>
        <w:tc>
          <w:tcPr>
            <w:tcW w:w="207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p>
        </w:tc>
        <w:tc>
          <w:tcPr>
            <w:tcW w:w="1237" w:type="dxa"/>
            <w:gridSpan w:val="3"/>
            <w:tcBorders>
              <w:top w:val="nil"/>
              <w:left w:val="nil"/>
              <w:bottom w:val="single" w:color="000000" w:sz="4" w:space="0"/>
              <w:right w:val="nil"/>
            </w:tcBorders>
          </w:tcPr>
          <w:p>
            <w:pPr>
              <w:ind w:firstLine="560" w:firstLineChars="200"/>
            </w:pPr>
            <w:r>
              <w:rPr>
                <w:rFonts w:hint="eastAsia" w:ascii="宋体" w:cs="宋体"/>
                <w:color w:val="000000"/>
                <w:kern w:val="0"/>
                <w:sz w:val="28"/>
                <w:szCs w:val="28"/>
              </w:rPr>
              <w:t>3.8</w:t>
            </w:r>
          </w:p>
        </w:tc>
        <w:tc>
          <w:tcPr>
            <w:tcW w:w="1770" w:type="dxa"/>
            <w:gridSpan w:val="4"/>
            <w:tcBorders>
              <w:top w:val="single" w:color="auto" w:sz="4" w:space="0"/>
              <w:left w:val="single" w:color="auto" w:sz="4" w:space="0"/>
              <w:bottom w:val="single" w:color="auto" w:sz="4" w:space="0"/>
              <w:right w:val="single" w:color="auto" w:sz="4" w:space="0"/>
            </w:tcBorders>
          </w:tcPr>
          <w:p>
            <w:pPr>
              <w:ind w:firstLine="1120" w:firstLineChars="400"/>
            </w:pPr>
            <w:r>
              <w:rPr>
                <w:rFonts w:hint="eastAsia" w:ascii="宋体" w:cs="宋体"/>
                <w:color w:val="000000"/>
                <w:kern w:val="0"/>
                <w:sz w:val="28"/>
                <w:szCs w:val="28"/>
              </w:rPr>
              <w:t>3.8</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一般公共预算财政拨款“三公”经费统计表</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cs="宋体"/>
                <w:b/>
                <w:bCs/>
                <w:color w:val="000000"/>
                <w:kern w:val="0"/>
                <w:sz w:val="22"/>
                <w:szCs w:val="22"/>
              </w:rPr>
              <w:t>22.6</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cs="宋体"/>
                <w:color w:val="000000"/>
                <w:kern w:val="0"/>
                <w:sz w:val="22"/>
                <w:szCs w:val="22"/>
              </w:rPr>
              <w:t>11.2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11.4</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00232F"/>
    <w:rsid w:val="000A6508"/>
    <w:rsid w:val="000F236D"/>
    <w:rsid w:val="00130A43"/>
    <w:rsid w:val="001317CD"/>
    <w:rsid w:val="0015685A"/>
    <w:rsid w:val="00185F55"/>
    <w:rsid w:val="00186CCC"/>
    <w:rsid w:val="001C2116"/>
    <w:rsid w:val="0021397A"/>
    <w:rsid w:val="0022564D"/>
    <w:rsid w:val="00227EFF"/>
    <w:rsid w:val="002D6B10"/>
    <w:rsid w:val="00304143"/>
    <w:rsid w:val="003367DD"/>
    <w:rsid w:val="003B7D33"/>
    <w:rsid w:val="003D209E"/>
    <w:rsid w:val="003E2BA3"/>
    <w:rsid w:val="00406822"/>
    <w:rsid w:val="00445C63"/>
    <w:rsid w:val="004C2032"/>
    <w:rsid w:val="004D3754"/>
    <w:rsid w:val="00544380"/>
    <w:rsid w:val="00545872"/>
    <w:rsid w:val="00566930"/>
    <w:rsid w:val="0058451F"/>
    <w:rsid w:val="00596D1D"/>
    <w:rsid w:val="005B50AE"/>
    <w:rsid w:val="005E5405"/>
    <w:rsid w:val="0061598D"/>
    <w:rsid w:val="0063585D"/>
    <w:rsid w:val="00670D4D"/>
    <w:rsid w:val="00676476"/>
    <w:rsid w:val="00693EEC"/>
    <w:rsid w:val="006A2382"/>
    <w:rsid w:val="006B321B"/>
    <w:rsid w:val="006B46C6"/>
    <w:rsid w:val="006C25BF"/>
    <w:rsid w:val="006C5F43"/>
    <w:rsid w:val="006E256F"/>
    <w:rsid w:val="007072BE"/>
    <w:rsid w:val="00712027"/>
    <w:rsid w:val="0071565C"/>
    <w:rsid w:val="007638C7"/>
    <w:rsid w:val="00780772"/>
    <w:rsid w:val="007937D0"/>
    <w:rsid w:val="007A175A"/>
    <w:rsid w:val="007A63F4"/>
    <w:rsid w:val="007B3C33"/>
    <w:rsid w:val="007E7296"/>
    <w:rsid w:val="008125A2"/>
    <w:rsid w:val="0082208E"/>
    <w:rsid w:val="0083120F"/>
    <w:rsid w:val="00864630"/>
    <w:rsid w:val="008C6EF7"/>
    <w:rsid w:val="008F3AF8"/>
    <w:rsid w:val="00910E73"/>
    <w:rsid w:val="0099123C"/>
    <w:rsid w:val="009A32A3"/>
    <w:rsid w:val="009C2FDA"/>
    <w:rsid w:val="009E617B"/>
    <w:rsid w:val="00A11EF6"/>
    <w:rsid w:val="00A16BF9"/>
    <w:rsid w:val="00A95534"/>
    <w:rsid w:val="00AD3CB8"/>
    <w:rsid w:val="00AD4198"/>
    <w:rsid w:val="00AF3832"/>
    <w:rsid w:val="00B24D07"/>
    <w:rsid w:val="00B3272B"/>
    <w:rsid w:val="00B465BF"/>
    <w:rsid w:val="00B46E86"/>
    <w:rsid w:val="00B64840"/>
    <w:rsid w:val="00BA1172"/>
    <w:rsid w:val="00BA7BB8"/>
    <w:rsid w:val="00BC03A5"/>
    <w:rsid w:val="00BD0499"/>
    <w:rsid w:val="00C16851"/>
    <w:rsid w:val="00C64F2F"/>
    <w:rsid w:val="00C9201D"/>
    <w:rsid w:val="00CE13BC"/>
    <w:rsid w:val="00D95E56"/>
    <w:rsid w:val="00D9631D"/>
    <w:rsid w:val="00DA08A2"/>
    <w:rsid w:val="00DB2255"/>
    <w:rsid w:val="00DC2338"/>
    <w:rsid w:val="00DC74F9"/>
    <w:rsid w:val="00DF0D9D"/>
    <w:rsid w:val="00DF4BE3"/>
    <w:rsid w:val="00E72711"/>
    <w:rsid w:val="00E75175"/>
    <w:rsid w:val="00E82922"/>
    <w:rsid w:val="00E95C11"/>
    <w:rsid w:val="00EA6AD1"/>
    <w:rsid w:val="00ED5667"/>
    <w:rsid w:val="00F200B9"/>
    <w:rsid w:val="00F71AF9"/>
    <w:rsid w:val="00FB07AC"/>
    <w:rsid w:val="00FB0D37"/>
    <w:rsid w:val="0380154B"/>
    <w:rsid w:val="15896577"/>
    <w:rsid w:val="1B083AED"/>
    <w:rsid w:val="45180CEA"/>
    <w:rsid w:val="4543172C"/>
    <w:rsid w:val="47A9379D"/>
    <w:rsid w:val="4ACA0BE3"/>
    <w:rsid w:val="78247A6E"/>
    <w:rsid w:val="7EC879A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paragraph" w:customStyle="1" w:styleId="7">
    <w:name w:val="列出段落2"/>
    <w:basedOn w:val="1"/>
    <w:qFormat/>
    <w:uiPriority w:val="99"/>
    <w:pPr>
      <w:ind w:firstLine="420" w:firstLineChars="200"/>
    </w:pPr>
    <w:rPr>
      <w:rFonts w:ascii="Calibri" w:hAnsi="Calibri"/>
      <w:szCs w:val="22"/>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1798</Words>
  <Characters>10252</Characters>
  <Lines>85</Lines>
  <Paragraphs>24</Paragraphs>
  <TotalTime>0</TotalTime>
  <ScaleCrop>false</ScaleCrop>
  <LinksUpToDate>false</LinksUpToDate>
  <CharactersWithSpaces>12026</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cp:lastPrinted>2016-09-30T01:09:00Z</cp:lastPrinted>
  <dcterms:modified xsi:type="dcterms:W3CDTF">2016-10-09T02:02:21Z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