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line="600" w:lineRule="exact"/>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重庆市巫溪县残疾人联合会</w:t>
      </w:r>
      <w:r>
        <w:rPr>
          <w:rFonts w:hint="default" w:ascii="Times New Roman" w:hAnsi="Times New Roman" w:eastAsia="方正小标宋_GBK" w:cs="Times New Roman"/>
          <w:sz w:val="44"/>
          <w:szCs w:val="44"/>
          <w:shd w:val="clear" w:color="auto" w:fill="FFFFFF"/>
        </w:rPr>
        <w:t>2023</w:t>
      </w:r>
      <w:r>
        <w:rPr>
          <w:rFonts w:hint="eastAsia" w:ascii="方正小标宋_GBK" w:hAnsi="方正小标宋_GBK" w:eastAsia="方正小标宋_GBK" w:cs="方正小标宋_GBK"/>
          <w:sz w:val="44"/>
          <w:szCs w:val="44"/>
          <w:shd w:val="clear" w:color="auto" w:fill="FFFFFF"/>
        </w:rPr>
        <w:t>年度</w:t>
      </w:r>
    </w:p>
    <w:p>
      <w:pPr>
        <w:pStyle w:val="6"/>
        <w:keepNext w:val="0"/>
        <w:keepLines w:val="0"/>
        <w:pageBreakBefore w:val="0"/>
        <w:widowControl/>
        <w:kinsoku/>
        <w:overflowPunct/>
        <w:topLinePunct w:val="0"/>
        <w:autoSpaceDN/>
        <w:bidi w:val="0"/>
        <w:adjustRightInd/>
        <w:spacing w:before="0" w:beforeAutospacing="0" w:line="600" w:lineRule="exact"/>
        <w:jc w:val="center"/>
        <w:rPr>
          <w:rStyle w:val="10"/>
          <w:rFonts w:hint="eastAsia" w:ascii="方正黑体_GBK" w:hAnsi="方正黑体_GBK" w:eastAsia="方正黑体_GBK" w:cs="方正黑体_GBK"/>
          <w:b w:val="0"/>
          <w:bCs/>
          <w:sz w:val="32"/>
          <w:szCs w:val="32"/>
          <w:shd w:val="clear" w:color="auto" w:fill="FFFFFF"/>
        </w:rPr>
      </w:pPr>
      <w:r>
        <w:rPr>
          <w:rFonts w:hint="eastAsia" w:ascii="方正小标宋_GBK" w:hAnsi="方正小标宋_GBK" w:eastAsia="方正小标宋_GBK" w:cs="方正小标宋_GBK"/>
          <w:sz w:val="44"/>
          <w:szCs w:val="44"/>
          <w:shd w:val="clear" w:color="auto" w:fill="FFFFFF"/>
        </w:rPr>
        <w:t>决算公开说明</w:t>
      </w:r>
    </w:p>
    <w:p>
      <w:pPr>
        <w:pStyle w:val="6"/>
        <w:keepNext w:val="0"/>
        <w:keepLines w:val="0"/>
        <w:pageBreakBefore w:val="0"/>
        <w:widowControl/>
        <w:shd w:val="clear" w:color="auto" w:fill="FFFFFF"/>
        <w:kinsoku/>
        <w:overflowPunct/>
        <w:topLinePunct w:val="0"/>
        <w:autoSpaceDN/>
        <w:bidi w:val="0"/>
        <w:adjustRightInd/>
        <w:spacing w:beforeAutospacing="0" w:line="600" w:lineRule="exact"/>
        <w:ind w:firstLine="640" w:firstLineChars="200"/>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w:t>
      </w:r>
      <w:r>
        <w:rPr>
          <w:rStyle w:val="10"/>
          <w:rFonts w:hint="eastAsia" w:ascii="方正黑体_GBK" w:hAnsi="方正黑体_GBK" w:eastAsia="方正黑体_GBK" w:cs="方正黑体_GBK"/>
          <w:b w:val="0"/>
          <w:bCs/>
          <w:sz w:val="32"/>
          <w:szCs w:val="32"/>
          <w:shd w:val="clear" w:color="auto" w:fill="FFFFFF"/>
          <w:lang w:val="en-US" w:eastAsia="zh-CN"/>
        </w:rPr>
        <w:t>部门</w:t>
      </w:r>
      <w:r>
        <w:rPr>
          <w:rStyle w:val="10"/>
          <w:rFonts w:hint="eastAsia" w:ascii="方正黑体_GBK" w:hAnsi="方正黑体_GBK" w:eastAsia="方正黑体_GBK" w:cs="方正黑体_GBK"/>
          <w:b w:val="0"/>
          <w:bCs/>
          <w:sz w:val="32"/>
          <w:szCs w:val="32"/>
          <w:shd w:val="clear" w:color="auto" w:fill="FFFFFF"/>
        </w:rPr>
        <w:t>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600" w:lineRule="exact"/>
        <w:ind w:left="0" w:right="0" w:firstLine="0"/>
        <w:jc w:val="both"/>
        <w:rPr>
          <w:rFonts w:ascii="微软雅黑" w:hAnsi="微软雅黑" w:eastAsia="微软雅黑" w:cs="微软雅黑"/>
          <w:i w:val="0"/>
          <w:iCs w:val="0"/>
          <w:caps w:val="0"/>
          <w:color w:val="000000"/>
          <w:spacing w:val="0"/>
          <w:sz w:val="27"/>
          <w:szCs w:val="27"/>
        </w:rPr>
      </w:pPr>
      <w:bookmarkStart w:id="0" w:name="_GoBack"/>
      <w:bookmarkEnd w:id="0"/>
      <w:r>
        <w:rPr>
          <w:rFonts w:hint="eastAsia" w:ascii="方正楷体_GBK" w:hAnsi="方正楷体_GBK" w:eastAsia="方正楷体_GBK" w:cs="方正楷体_GBK"/>
          <w:i w:val="0"/>
          <w:iCs w:val="0"/>
          <w:caps w:val="0"/>
          <w:color w:val="000000"/>
          <w:spacing w:val="0"/>
          <w:sz w:val="32"/>
          <w:szCs w:val="32"/>
          <w:shd w:val="clear" w:fill="FFFFFF"/>
        </w:rPr>
        <w:t>（一）职能职责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600" w:lineRule="exac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rPr>
        <w:t>1.</w:t>
      </w:r>
      <w:r>
        <w:rPr>
          <w:rFonts w:ascii="方正仿宋_GBK" w:hAnsi="方正仿宋_GBK" w:eastAsia="方正仿宋_GBK" w:cs="方正仿宋_GBK"/>
          <w:i w:val="0"/>
          <w:iCs w:val="0"/>
          <w:caps w:val="0"/>
          <w:color w:val="000000"/>
          <w:spacing w:val="0"/>
          <w:sz w:val="32"/>
          <w:szCs w:val="32"/>
        </w:rPr>
        <w:t>贯彻执行《重庆市残疾人保障条例》，联系残疾人，听取残疾人意见，反映残疾人要求，维护残疾人权益，为残疾人服务。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600" w:lineRule="exac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rPr>
        <w:t>2.</w:t>
      </w:r>
      <w:r>
        <w:rPr>
          <w:rFonts w:hint="eastAsia" w:ascii="方正仿宋_GBK" w:hAnsi="方正仿宋_GBK" w:eastAsia="方正仿宋_GBK" w:cs="方正仿宋_GBK"/>
          <w:i w:val="0"/>
          <w:iCs w:val="0"/>
          <w:caps w:val="0"/>
          <w:color w:val="000000"/>
          <w:spacing w:val="0"/>
          <w:sz w:val="32"/>
          <w:szCs w:val="32"/>
        </w:rPr>
        <w:t>制定和实施残疾人事业的政策、规划和计划。调查掌握残疾人状况，向县委、县政府提出决策建议。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600" w:lineRule="exac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弘扬人道主义，宣传残疾人事业，促进政府、社会与残疾人之间的联系，动员社会理解、尊重、关心、帮助残疾人。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600" w:lineRule="exac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rPr>
        <w:t>4.</w:t>
      </w:r>
      <w:r>
        <w:rPr>
          <w:rFonts w:hint="eastAsia" w:ascii="方正仿宋_GBK" w:hAnsi="方正仿宋_GBK" w:eastAsia="方正仿宋_GBK" w:cs="方正仿宋_GBK"/>
          <w:i w:val="0"/>
          <w:iCs w:val="0"/>
          <w:caps w:val="0"/>
          <w:color w:val="000000"/>
          <w:spacing w:val="0"/>
          <w:sz w:val="32"/>
          <w:szCs w:val="32"/>
        </w:rPr>
        <w:t>团结、教育残疾人遵守法律，履行应尽的义务，发扬乐观进取精神，自尊、自信、自强、自立，为巫溪改革稳定发展贡献力量。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600" w:lineRule="exac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rPr>
        <w:t>5.</w:t>
      </w:r>
      <w:r>
        <w:rPr>
          <w:rFonts w:hint="eastAsia" w:ascii="方正仿宋_GBK" w:hAnsi="方正仿宋_GBK" w:eastAsia="方正仿宋_GBK" w:cs="方正仿宋_GBK"/>
          <w:i w:val="0"/>
          <w:iCs w:val="0"/>
          <w:caps w:val="0"/>
          <w:color w:val="000000"/>
          <w:spacing w:val="0"/>
          <w:sz w:val="32"/>
          <w:szCs w:val="32"/>
        </w:rPr>
        <w:t>开展残疾人康复、扶贫、教育、文化、体育、福利、劳动就业、社会服务、辅助器具供应、法律援助服务、无障碍设施和残疾预防工作，创造良好的环境和条件，扶助残疾人平等参与社会生活。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600" w:lineRule="exac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rPr>
        <w:t>6.</w:t>
      </w:r>
      <w:r>
        <w:rPr>
          <w:rFonts w:hint="eastAsia" w:ascii="方正仿宋_GBK" w:hAnsi="方正仿宋_GBK" w:eastAsia="方正仿宋_GBK" w:cs="方正仿宋_GBK"/>
          <w:i w:val="0"/>
          <w:iCs w:val="0"/>
          <w:caps w:val="0"/>
          <w:color w:val="000000"/>
          <w:spacing w:val="0"/>
          <w:sz w:val="32"/>
          <w:szCs w:val="32"/>
        </w:rPr>
        <w:t>组织实施残疾人按比例就业工作，指导和帮助残疾人集中就业或个体就业，指导监督和宏观管理残联系统的残疾人福利企业，会同有关部门制定并监督实施残疾人福利生产的扶持保护政策。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600" w:lineRule="exac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rPr>
        <w:t>7.</w:t>
      </w:r>
      <w:r>
        <w:rPr>
          <w:rFonts w:hint="eastAsia" w:ascii="方正仿宋_GBK" w:hAnsi="方正仿宋_GBK" w:eastAsia="方正仿宋_GBK" w:cs="方正仿宋_GBK"/>
          <w:i w:val="0"/>
          <w:iCs w:val="0"/>
          <w:caps w:val="0"/>
          <w:color w:val="000000"/>
          <w:spacing w:val="0"/>
          <w:sz w:val="32"/>
          <w:szCs w:val="32"/>
        </w:rPr>
        <w:t>协助乡镇（街道）考察残联领导班子和做好残联干部的管理工作，对全县乡镇（街道）残联干部和残疾人基层群众组织负责人进行培训。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600" w:lineRule="exac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rPr>
        <w:t>8.</w:t>
      </w:r>
      <w:r>
        <w:rPr>
          <w:rFonts w:hint="eastAsia" w:ascii="方正仿宋_GBK" w:hAnsi="方正仿宋_GBK" w:eastAsia="方正仿宋_GBK" w:cs="方正仿宋_GBK"/>
          <w:i w:val="0"/>
          <w:iCs w:val="0"/>
          <w:caps w:val="0"/>
          <w:color w:val="000000"/>
          <w:spacing w:val="0"/>
          <w:sz w:val="32"/>
          <w:szCs w:val="32"/>
        </w:rPr>
        <w:t>管理和核发《中华人民共和国残疾人证》。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600" w:lineRule="exac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rPr>
        <w:t>9.</w:t>
      </w:r>
      <w:r>
        <w:rPr>
          <w:rFonts w:hint="eastAsia" w:ascii="方正仿宋_GBK" w:hAnsi="方正仿宋_GBK" w:eastAsia="方正仿宋_GBK" w:cs="方正仿宋_GBK"/>
          <w:i w:val="0"/>
          <w:iCs w:val="0"/>
          <w:caps w:val="0"/>
          <w:color w:val="000000"/>
          <w:spacing w:val="0"/>
          <w:sz w:val="32"/>
          <w:szCs w:val="32"/>
        </w:rPr>
        <w:t>指导和管理各类残疾人社团组织。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600" w:lineRule="exac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rPr>
        <w:t>10.</w:t>
      </w:r>
      <w:r>
        <w:rPr>
          <w:rFonts w:hint="eastAsia" w:ascii="方正仿宋_GBK" w:hAnsi="方正仿宋_GBK" w:eastAsia="方正仿宋_GBK" w:cs="方正仿宋_GBK"/>
          <w:i w:val="0"/>
          <w:iCs w:val="0"/>
          <w:caps w:val="0"/>
          <w:color w:val="000000"/>
          <w:spacing w:val="0"/>
          <w:sz w:val="32"/>
          <w:szCs w:val="32"/>
        </w:rPr>
        <w:t>开展残疾人事业的对外交流与合作。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0" w:beforeAutospacing="0" w:after="0" w:afterAutospacing="0" w:line="600" w:lineRule="exac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rPr>
        <w:t>11.</w:t>
      </w:r>
      <w:r>
        <w:rPr>
          <w:rFonts w:hint="eastAsia" w:ascii="方正仿宋_GBK" w:hAnsi="方正仿宋_GBK" w:eastAsia="方正仿宋_GBK" w:cs="方正仿宋_GBK"/>
          <w:i w:val="0"/>
          <w:iCs w:val="0"/>
          <w:caps w:val="0"/>
          <w:color w:val="000000"/>
          <w:spacing w:val="0"/>
          <w:sz w:val="32"/>
          <w:szCs w:val="32"/>
        </w:rPr>
        <w:t>完成县委、县政府交办的其他任务。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600" w:lineRule="exac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2"/>
          <w:szCs w:val="32"/>
          <w:shd w:val="clear" w:fill="FFFFFF"/>
        </w:rPr>
        <w:t>（二）机构设置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600" w:lineRule="exact"/>
        <w:ind w:left="0" w:right="0" w:firstLine="620"/>
        <w:jc w:val="both"/>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本单位内设科室</w:t>
      </w: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个，即综合科和业务科。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600" w:lineRule="exac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2"/>
          <w:szCs w:val="32"/>
          <w:shd w:val="clear" w:fill="FFFFFF"/>
        </w:rPr>
        <w:t>（三）单位构成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600" w:lineRule="exact"/>
        <w:ind w:left="0" w:right="0" w:firstLine="620"/>
        <w:jc w:val="both"/>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本单位属于一级预算单位，从预算单位构成看，纳入本部门</w:t>
      </w:r>
      <w:r>
        <w:rPr>
          <w:rFonts w:hint="default" w:ascii="方正仿宋_GBK" w:hAnsi="方正仿宋_GBK" w:eastAsia="方正仿宋_GBK" w:cs="方正仿宋_GBK"/>
          <w:i w:val="0"/>
          <w:iCs w:val="0"/>
          <w:caps w:val="0"/>
          <w:color w:val="000000"/>
          <w:spacing w:val="0"/>
          <w:sz w:val="32"/>
          <w:szCs w:val="32"/>
          <w:shd w:val="clear" w:fill="FFFFFF"/>
        </w:rPr>
        <w:t>202</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3</w:t>
      </w:r>
      <w:r>
        <w:rPr>
          <w:rFonts w:hint="eastAsia" w:ascii="方正仿宋_GBK" w:hAnsi="方正仿宋_GBK" w:eastAsia="方正仿宋_GBK" w:cs="方正仿宋_GBK"/>
          <w:i w:val="0"/>
          <w:iCs w:val="0"/>
          <w:caps w:val="0"/>
          <w:color w:val="000000"/>
          <w:spacing w:val="0"/>
          <w:sz w:val="32"/>
          <w:szCs w:val="32"/>
          <w:shd w:val="clear" w:fill="FFFFFF"/>
        </w:rPr>
        <w:t>年度决算编制的二级预算单位主要包括下属事业单位</w:t>
      </w:r>
      <w:r>
        <w:rPr>
          <w:rFonts w:hint="default" w:ascii="方正仿宋_GBK" w:hAnsi="方正仿宋_GBK"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个，即巫溪县残疾人康复就业服务中心，财政全额拨款单位。</w:t>
      </w:r>
    </w:p>
    <w:p>
      <w:pPr>
        <w:pStyle w:val="6"/>
        <w:keepNext w:val="0"/>
        <w:keepLines w:val="0"/>
        <w:pageBreakBefore w:val="0"/>
        <w:widowControl/>
        <w:shd w:val="clear" w:color="auto" w:fill="FFFFFF"/>
        <w:kinsoku/>
        <w:overflowPunct/>
        <w:topLinePunct w:val="0"/>
        <w:autoSpaceDN/>
        <w:bidi w:val="0"/>
        <w:adjustRightInd/>
        <w:spacing w:beforeAutospacing="0" w:line="600" w:lineRule="exact"/>
        <w:ind w:firstLine="640" w:firstLineChars="200"/>
        <w:rPr>
          <w:rStyle w:val="10"/>
          <w:rFonts w:hint="default"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二、部门决算情况说明</w:t>
      </w:r>
    </w:p>
    <w:p>
      <w:pPr>
        <w:pStyle w:val="11"/>
        <w:keepNext w:val="0"/>
        <w:keepLines w:val="0"/>
        <w:pageBreakBefore w:val="0"/>
        <w:widowControl/>
        <w:kinsoku/>
        <w:overflowPunct/>
        <w:topLinePunct w:val="0"/>
        <w:autoSpaceDE w:val="0"/>
        <w:autoSpaceDN/>
        <w:bidi w:val="0"/>
        <w:adjustRightInd/>
        <w:spacing w:beforeAutospacing="0" w:line="60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widowControl/>
        <w:shd w:val="clear" w:color="auto" w:fill="FFFFFF"/>
        <w:kinsoku/>
        <w:overflowPunct/>
        <w:topLinePunct w:val="0"/>
        <w:autoSpaceDN/>
        <w:bidi w:val="0"/>
        <w:adjustRightInd/>
        <w:spacing w:beforeAutospacing="0" w:line="600"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2023年度收入总计1579.5万元，支出总计</w:t>
      </w:r>
      <w:r>
        <w:rPr>
          <w:rFonts w:hint="default" w:ascii="Times New Roman" w:hAnsi="Times New Roman" w:eastAsia="方正仿宋_GBK" w:cs="Times New Roman"/>
          <w:sz w:val="32"/>
          <w:szCs w:val="32"/>
        </w:rPr>
        <w:t>1579.5</w:t>
      </w:r>
      <w:r>
        <w:rPr>
          <w:rFonts w:hint="default" w:ascii="Times New Roman" w:hAnsi="Times New Roman" w:eastAsia="方正仿宋_GBK" w:cs="Times New Roman"/>
          <w:sz w:val="32"/>
          <w:szCs w:val="32"/>
          <w:shd w:val="clear" w:color="auto" w:fill="FFFFFF"/>
        </w:rPr>
        <w:t>万元。收支较上年决算数增加4.18万元，增长0.</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2022年退休1人，事业编制提拔为领导干部调出2人，2023年新招录工作人员5人，其中未进入预算4人</w:t>
      </w:r>
      <w:r>
        <w:rPr>
          <w:rFonts w:hint="eastAsia"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2023年度收入合计1579.5万元，较上年决算数增加4.18万元，增长0.</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2022年退休1人，事业编制提拔为领导干部调出2人，2023年新招录工作人员5人，其中未进入预算4人</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1579.5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万元，占0.0%；其他收入</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万元，占0.0%。此外，使用非财政拨款结余和专用结余</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万元，年初结转和结余</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1579.5</w:t>
      </w:r>
      <w:r>
        <w:rPr>
          <w:rFonts w:hint="default" w:ascii="Times New Roman" w:hAnsi="Times New Roman" w:eastAsia="方正仿宋_GBK" w:cs="Times New Roman"/>
          <w:sz w:val="32"/>
          <w:szCs w:val="32"/>
          <w:shd w:val="clear" w:color="auto" w:fill="FFFFFF"/>
        </w:rPr>
        <w:t>万元，较上年决算数增加4.18万元，增长0.</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2022年退休1人，事业编制提拔为领导干部调出2人，2023年新招录工作人员5人，其中未进入预算4人，基本支出较上年减少30.86万元，而中央、市级彩票项目预算拨款较上年增加35.04万元，主要原因是本年度救助残疾人大学生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159.34</w:t>
      </w:r>
      <w:r>
        <w:rPr>
          <w:rFonts w:hint="default" w:ascii="Times New Roman" w:hAnsi="Times New Roman" w:eastAsia="方正仿宋_GBK" w:cs="Times New Roman"/>
          <w:sz w:val="32"/>
          <w:szCs w:val="32"/>
          <w:shd w:val="clear" w:color="auto" w:fill="FFFFFF"/>
        </w:rPr>
        <w:t>万元，占10.</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%；项目支出</w:t>
      </w:r>
      <w:r>
        <w:rPr>
          <w:rFonts w:hint="default" w:ascii="Times New Roman" w:hAnsi="Times New Roman" w:eastAsia="方正仿宋_GBK" w:cs="Times New Roman"/>
          <w:sz w:val="32"/>
          <w:szCs w:val="32"/>
        </w:rPr>
        <w:t>1420.16</w:t>
      </w:r>
      <w:r>
        <w:rPr>
          <w:rFonts w:hint="default" w:ascii="Times New Roman" w:hAnsi="Times New Roman" w:eastAsia="方正仿宋_GBK" w:cs="Times New Roman"/>
          <w:sz w:val="32"/>
          <w:szCs w:val="32"/>
          <w:shd w:val="clear" w:color="auto" w:fill="FFFFFF"/>
        </w:rPr>
        <w:t>万元，占89.9%；经营支出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宋体" w:cs="Times New Roman"/>
          <w:i w:val="0"/>
          <w:iCs w:val="0"/>
          <w:caps w:val="0"/>
          <w:color w:val="000000"/>
          <w:spacing w:val="0"/>
          <w:sz w:val="32"/>
          <w:szCs w:val="32"/>
          <w:shd w:val="clear" w:fill="FFFFFF"/>
        </w:rPr>
        <w:t>202</w:t>
      </w:r>
      <w:r>
        <w:rPr>
          <w:rFonts w:hint="default" w:ascii="Times New Roman" w:hAnsi="Times New Roman"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年部门预算执行结余零结转</w:t>
      </w:r>
      <w:r>
        <w:rPr>
          <w:rFonts w:hint="default" w:ascii="Times New Roman" w:hAnsi="Times New Roman" w:eastAsia="方正仿宋_GBK" w:cs="Times New Roman"/>
          <w:i w:val="0"/>
          <w:iCs w:val="0"/>
          <w:caps w:val="0"/>
          <w:color w:val="000000"/>
          <w:spacing w:val="0"/>
          <w:sz w:val="32"/>
          <w:szCs w:val="32"/>
          <w:shd w:val="clear" w:fill="FFFFFF"/>
          <w:lang w:eastAsia="zh-CN"/>
        </w:rPr>
        <w:t>。</w:t>
      </w:r>
    </w:p>
    <w:p>
      <w:pPr>
        <w:pStyle w:val="11"/>
        <w:keepNext w:val="0"/>
        <w:keepLines w:val="0"/>
        <w:pageBreakBefore w:val="0"/>
        <w:widowControl/>
        <w:kinsoku/>
        <w:overflowPunct/>
        <w:topLinePunct w:val="0"/>
        <w:autoSpaceDE w:val="0"/>
        <w:autoSpaceDN/>
        <w:bidi w:val="0"/>
        <w:adjustRightInd/>
        <w:spacing w:beforeAutospacing="0" w:line="60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2023年度财政拨款收、支总计1579.5万元。与2022年相比，财政拨款收、支总计各增加4.18万元，增长0.</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2022年退休1人，事业编制提拔为领导干部调出2人，2023年新招录工作人员5人，其中未进入预算4人</w:t>
      </w:r>
      <w:r>
        <w:rPr>
          <w:rFonts w:hint="eastAsia" w:ascii="方正仿宋_GBK" w:hAnsi="方正仿宋_GBK" w:eastAsia="方正仿宋_GBK" w:cs="方正仿宋_GBK"/>
          <w:sz w:val="32"/>
          <w:szCs w:val="32"/>
          <w:shd w:val="clear" w:color="auto" w:fill="FFFFFF"/>
          <w:lang w:val="en-US" w:eastAsia="zh-CN"/>
        </w:rPr>
        <w:t>。</w:t>
      </w:r>
    </w:p>
    <w:p>
      <w:pPr>
        <w:pStyle w:val="11"/>
        <w:keepNext w:val="0"/>
        <w:keepLines w:val="0"/>
        <w:pageBreakBefore w:val="0"/>
        <w:widowControl/>
        <w:kinsoku/>
        <w:overflowPunct/>
        <w:topLinePunct w:val="0"/>
        <w:autoSpaceDE w:val="0"/>
        <w:autoSpaceDN/>
        <w:bidi w:val="0"/>
        <w:adjustRightInd/>
        <w:spacing w:beforeAutospacing="0" w:line="60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1418.5</w:t>
      </w:r>
      <w:r>
        <w:rPr>
          <w:rFonts w:hint="default" w:ascii="Times New Roman" w:hAnsi="Times New Roman" w:eastAsia="方正仿宋_GBK" w:cs="Times New Roman"/>
          <w:sz w:val="32"/>
          <w:szCs w:val="32"/>
          <w:shd w:val="clear" w:color="auto" w:fill="FFFFFF"/>
        </w:rPr>
        <w:t>万元，较上年决算数减少18.4万元，下降1.</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2022年退休1人，事业编制提拔为领导干部调出2人，2023年新招录工作人员5人，其中未进入预算4人。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较年初预算数增加68.81万元，增长5.1%。主要原因是</w:t>
      </w:r>
      <w:r>
        <w:rPr>
          <w:rFonts w:hint="default" w:ascii="Times New Roman" w:hAnsi="Times New Roman" w:eastAsia="方正仿宋_GBK" w:cs="Times New Roman"/>
          <w:sz w:val="32"/>
          <w:szCs w:val="32"/>
          <w:shd w:val="clear" w:color="auto" w:fill="FFFFFF"/>
          <w:lang w:val="en-US" w:eastAsia="zh-CN"/>
        </w:rPr>
        <w:t>年中渝财社</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宋体" w:cs="Times New Roman"/>
          <w:i w:val="0"/>
          <w:iCs w:val="0"/>
          <w:caps w:val="0"/>
          <w:color w:val="000000"/>
          <w:spacing w:val="0"/>
          <w:sz w:val="32"/>
          <w:szCs w:val="32"/>
          <w:shd w:val="clear" w:fill="FFFFFF"/>
        </w:rPr>
        <w:t>202</w:t>
      </w:r>
      <w:r>
        <w:rPr>
          <w:rFonts w:hint="default" w:ascii="Times New Roman" w:hAnsi="Times New Roman"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40号、渝财预</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宋体" w:cs="Times New Roman"/>
          <w:i w:val="0"/>
          <w:iCs w:val="0"/>
          <w:caps w:val="0"/>
          <w:color w:val="000000"/>
          <w:spacing w:val="0"/>
          <w:sz w:val="32"/>
          <w:szCs w:val="32"/>
          <w:shd w:val="clear" w:fill="FFFFFF"/>
        </w:rPr>
        <w:t>202</w:t>
      </w:r>
      <w:r>
        <w:rPr>
          <w:rFonts w:hint="default" w:ascii="Times New Roman" w:hAnsi="Times New Roman"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22号等文件</w:t>
      </w:r>
      <w:r>
        <w:rPr>
          <w:rFonts w:hint="default" w:ascii="Times New Roman" w:hAnsi="Times New Roman" w:eastAsia="方正仿宋_GBK" w:cs="Times New Roman"/>
          <w:sz w:val="32"/>
          <w:szCs w:val="32"/>
          <w:shd w:val="clear" w:color="auto" w:fill="FFFFFF"/>
          <w:lang w:val="en-US" w:eastAsia="zh-CN"/>
        </w:rPr>
        <w:t>追加中央一般项目资金预算54万元，用于残疾人集中供养，追加人员经费11.59万元用于政策衔接津补贴清算及退休人员职业年金记实缴存。</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1418.5</w:t>
      </w:r>
      <w:r>
        <w:rPr>
          <w:rFonts w:hint="default" w:ascii="Times New Roman" w:hAnsi="Times New Roman" w:eastAsia="方正仿宋_GBK" w:cs="Times New Roman"/>
          <w:sz w:val="32"/>
          <w:szCs w:val="32"/>
          <w:shd w:val="clear" w:color="auto" w:fill="FFFFFF"/>
        </w:rPr>
        <w:t>万元，较上年决算数减少18.4万元，下降1.</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2022年退休1人，事业编制提拔为领导干部调出2人，2023年新招录工作人员5人，其中未进入预算4人，人员支出较上年减少30.86万元，而一般项目预算拨款较上年增加12.46万元，主要原因是本年度一般性项目支出水平无明显变化，残疾人大学生救助资金由彩票公益金进行兑付。</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较年初预算数增加68.81万元，增长5.1%。主要原因是</w:t>
      </w:r>
      <w:r>
        <w:rPr>
          <w:rFonts w:hint="default" w:ascii="Times New Roman" w:hAnsi="Times New Roman" w:eastAsia="方正仿宋_GBK" w:cs="Times New Roman"/>
          <w:sz w:val="32"/>
          <w:szCs w:val="32"/>
          <w:shd w:val="clear" w:color="auto" w:fill="FFFFFF"/>
          <w:lang w:val="en-US" w:eastAsia="zh-CN"/>
        </w:rPr>
        <w:t>年中根据渝财社</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宋体" w:cs="Times New Roman"/>
          <w:i w:val="0"/>
          <w:iCs w:val="0"/>
          <w:caps w:val="0"/>
          <w:color w:val="000000"/>
          <w:spacing w:val="0"/>
          <w:sz w:val="32"/>
          <w:szCs w:val="32"/>
          <w:shd w:val="clear" w:fill="FFFFFF"/>
        </w:rPr>
        <w:t>202</w:t>
      </w:r>
      <w:r>
        <w:rPr>
          <w:rFonts w:hint="default" w:ascii="Times New Roman" w:hAnsi="Times New Roman"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40号、渝财预</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宋体" w:cs="Times New Roman"/>
          <w:i w:val="0"/>
          <w:iCs w:val="0"/>
          <w:caps w:val="0"/>
          <w:color w:val="000000"/>
          <w:spacing w:val="0"/>
          <w:sz w:val="32"/>
          <w:szCs w:val="32"/>
          <w:shd w:val="clear" w:fill="FFFFFF"/>
        </w:rPr>
        <w:t>202</w:t>
      </w:r>
      <w:r>
        <w:rPr>
          <w:rFonts w:hint="default" w:ascii="Times New Roman" w:hAnsi="Times New Roman"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22号等文件</w:t>
      </w:r>
      <w:r>
        <w:rPr>
          <w:rFonts w:hint="default" w:ascii="Times New Roman" w:hAnsi="Times New Roman" w:eastAsia="方正仿宋_GBK" w:cs="Times New Roman"/>
          <w:sz w:val="32"/>
          <w:szCs w:val="32"/>
          <w:shd w:val="clear" w:color="auto" w:fill="FFFFFF"/>
          <w:lang w:val="en-US" w:eastAsia="zh-CN"/>
        </w:rPr>
        <w:t>追加中央一般项目资金预算54万元，用于残疾人集中供养，追加人员经费11.59万元用于政策衔接津补贴清算及退休人员职业年金记实缴存。</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宋体" w:cs="Times New Roman"/>
          <w:i w:val="0"/>
          <w:iCs w:val="0"/>
          <w:caps w:val="0"/>
          <w:color w:val="000000"/>
          <w:spacing w:val="0"/>
          <w:sz w:val="32"/>
          <w:szCs w:val="32"/>
          <w:shd w:val="clear" w:fill="FFFFFF"/>
        </w:rPr>
        <w:t>202</w:t>
      </w:r>
      <w:r>
        <w:rPr>
          <w:rFonts w:hint="default" w:ascii="Times New Roman" w:hAnsi="Times New Roman"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年部门预算执行结余零结转</w:t>
      </w:r>
      <w:r>
        <w:rPr>
          <w:rFonts w:hint="default" w:ascii="Times New Roman" w:hAnsi="Times New Roman" w:eastAsia="方正仿宋_GBK" w:cs="Times New Roman"/>
          <w:i w:val="0"/>
          <w:iCs w:val="0"/>
          <w:caps w:val="0"/>
          <w:color w:val="000000"/>
          <w:spacing w:val="0"/>
          <w:sz w:val="32"/>
          <w:szCs w:val="32"/>
          <w:shd w:val="clear" w:fill="FFFFFF"/>
          <w:lang w:eastAsia="zh-CN"/>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rPr>
        <w:t>2023年度一般公共预算财政拨款支出主要用于以下几个方面：</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1404.37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99.0</w:t>
      </w:r>
      <w:r>
        <w:rPr>
          <w:rFonts w:hint="default" w:ascii="Times New Roman" w:hAnsi="Times New Roman" w:eastAsia="方正仿宋_GBK" w:cs="Times New Roman"/>
          <w:sz w:val="32"/>
          <w:szCs w:val="32"/>
          <w:shd w:val="clear" w:color="auto" w:fill="FFFFFF"/>
        </w:rPr>
        <w:t>%，较年初预算数增加68.81万元，增长5.</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年中渝财社</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宋体" w:cs="Times New Roman"/>
          <w:i w:val="0"/>
          <w:iCs w:val="0"/>
          <w:caps w:val="0"/>
          <w:color w:val="000000"/>
          <w:spacing w:val="0"/>
          <w:sz w:val="32"/>
          <w:szCs w:val="32"/>
          <w:shd w:val="clear" w:fill="FFFFFF"/>
        </w:rPr>
        <w:t>202</w:t>
      </w:r>
      <w:r>
        <w:rPr>
          <w:rFonts w:hint="default" w:ascii="Times New Roman" w:hAnsi="Times New Roman"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40号、渝财预</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宋体" w:cs="Times New Roman"/>
          <w:i w:val="0"/>
          <w:iCs w:val="0"/>
          <w:caps w:val="0"/>
          <w:color w:val="000000"/>
          <w:spacing w:val="0"/>
          <w:sz w:val="32"/>
          <w:szCs w:val="32"/>
          <w:shd w:val="clear" w:fill="FFFFFF"/>
        </w:rPr>
        <w:t>202</w:t>
      </w:r>
      <w:r>
        <w:rPr>
          <w:rFonts w:hint="default" w:ascii="Times New Roman" w:hAnsi="Times New Roman"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22号等文件</w:t>
      </w:r>
      <w:r>
        <w:rPr>
          <w:rFonts w:hint="default" w:ascii="Times New Roman" w:hAnsi="Times New Roman" w:eastAsia="方正仿宋_GBK" w:cs="Times New Roman"/>
          <w:sz w:val="32"/>
          <w:szCs w:val="32"/>
          <w:shd w:val="clear" w:color="auto" w:fill="FFFFFF"/>
          <w:lang w:val="en-US" w:eastAsia="zh-CN"/>
        </w:rPr>
        <w:t>追加中央一般项目资金预算54万元，用于残疾人集中供养，追加人员经费11.59万元用于政策衔接津补贴清算及退休人员职业年金记实缴存。</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5.18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sz w:val="32"/>
          <w:szCs w:val="32"/>
          <w:shd w:val="clear" w:color="auto" w:fill="FFFFFF"/>
          <w:lang w:val="en-US" w:eastAsia="zh-CN"/>
        </w:rPr>
        <w:t>预算支出执行与年初一致。</w:t>
      </w:r>
    </w:p>
    <w:p>
      <w:pPr>
        <w:keepNext w:val="0"/>
        <w:keepLines w:val="0"/>
        <w:pageBreakBefore w:val="0"/>
        <w:widowControl/>
        <w:kinsoku/>
        <w:overflowPunct/>
        <w:topLinePunct w:val="0"/>
        <w:autoSpaceDN/>
        <w:bidi w:val="0"/>
        <w:adjustRightInd/>
        <w:spacing w:beforeAutospacing="0" w:line="600" w:lineRule="exact"/>
        <w:ind w:firstLine="640" w:firstLineChars="200"/>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住房保障支出8.95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sz w:val="32"/>
          <w:szCs w:val="32"/>
          <w:shd w:val="clear" w:color="auto" w:fill="FFFFFF"/>
          <w:lang w:val="en-US" w:eastAsia="zh-CN"/>
        </w:rPr>
        <w:t>预算支出执行与年初一致。</w:t>
      </w:r>
    </w:p>
    <w:p>
      <w:pPr>
        <w:pStyle w:val="11"/>
        <w:keepNext w:val="0"/>
        <w:keepLines w:val="0"/>
        <w:pageBreakBefore w:val="0"/>
        <w:widowControl/>
        <w:kinsoku/>
        <w:overflowPunct/>
        <w:topLinePunct w:val="0"/>
        <w:autoSpaceDE w:val="0"/>
        <w:autoSpaceDN/>
        <w:bidi w:val="0"/>
        <w:adjustRightInd/>
        <w:spacing w:beforeAutospacing="0" w:line="600"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159.34</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135.92</w:t>
      </w:r>
      <w:r>
        <w:rPr>
          <w:rFonts w:hint="default" w:ascii="Times New Roman" w:hAnsi="Times New Roman" w:eastAsia="方正仿宋_GBK" w:cs="Times New Roman"/>
          <w:sz w:val="32"/>
          <w:szCs w:val="32"/>
          <w:shd w:val="clear" w:color="auto" w:fill="FFFFFF"/>
        </w:rPr>
        <w:t>万元，较上年决算数减少25.89万元，下降16.0%，主要原因是</w:t>
      </w:r>
      <w:r>
        <w:rPr>
          <w:rFonts w:hint="default" w:ascii="Times New Roman" w:hAnsi="Times New Roman" w:eastAsia="方正仿宋_GBK" w:cs="Times New Roman"/>
          <w:sz w:val="32"/>
          <w:szCs w:val="32"/>
          <w:shd w:val="clear" w:color="auto" w:fill="FFFFFF"/>
          <w:lang w:val="en-US" w:eastAsia="zh-CN"/>
        </w:rPr>
        <w:t>2022年退休1人，事业编制提拔为领导干部调出2人，2023年新招录工作人员5人，其中未进入预算4人，</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i w:val="0"/>
          <w:iCs w:val="0"/>
          <w:caps w:val="0"/>
          <w:color w:val="000000"/>
          <w:spacing w:val="0"/>
          <w:sz w:val="32"/>
          <w:szCs w:val="32"/>
          <w:shd w:val="clear" w:fill="FFFFFF"/>
        </w:rPr>
        <w:t>包括在编人员工资、津补贴及考核绩效</w:t>
      </w:r>
      <w:r>
        <w:rPr>
          <w:rFonts w:hint="default" w:ascii="Times New Roman" w:hAnsi="Times New Roman" w:eastAsia="方正仿宋_GBK" w:cs="Times New Roman"/>
          <w:i w:val="0"/>
          <w:iCs w:val="0"/>
          <w:caps w:val="0"/>
          <w:color w:val="000000"/>
          <w:spacing w:val="0"/>
          <w:sz w:val="32"/>
          <w:szCs w:val="32"/>
          <w:shd w:val="clear" w:fill="FFFFFF"/>
          <w:lang w:val="en-US" w:eastAsia="zh-CN"/>
        </w:rPr>
        <w:t>等</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23.41</w:t>
      </w:r>
      <w:r>
        <w:rPr>
          <w:rFonts w:hint="default" w:ascii="Times New Roman" w:hAnsi="Times New Roman" w:eastAsia="方正仿宋_GBK" w:cs="Times New Roman"/>
          <w:sz w:val="32"/>
          <w:szCs w:val="32"/>
          <w:shd w:val="clear" w:color="auto" w:fill="FFFFFF"/>
        </w:rPr>
        <w:t>万元，较上年决算数减少4.98万元，下降17.5%，主要原因是</w:t>
      </w:r>
      <w:r>
        <w:rPr>
          <w:rFonts w:hint="default" w:ascii="Times New Roman" w:hAnsi="Times New Roman" w:eastAsia="方正仿宋_GBK" w:cs="Times New Roman"/>
          <w:sz w:val="32"/>
          <w:szCs w:val="32"/>
          <w:shd w:val="clear" w:color="auto" w:fill="FFFFFF"/>
          <w:lang w:val="en-US" w:eastAsia="zh-CN"/>
        </w:rPr>
        <w:t>全年平均在编在岗人员减少。</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i w:val="0"/>
          <w:iCs w:val="0"/>
          <w:caps w:val="0"/>
          <w:color w:val="000000"/>
          <w:spacing w:val="0"/>
          <w:sz w:val="32"/>
          <w:szCs w:val="32"/>
          <w:shd w:val="clear" w:fill="FFFFFF"/>
        </w:rPr>
        <w:t>括差旅费、车改补贴及日常办公费。</w:t>
      </w:r>
    </w:p>
    <w:p>
      <w:pPr>
        <w:pStyle w:val="11"/>
        <w:keepNext w:val="0"/>
        <w:keepLines w:val="0"/>
        <w:pageBreakBefore w:val="0"/>
        <w:widowControl/>
        <w:kinsoku/>
        <w:overflowPunct/>
        <w:topLinePunct w:val="0"/>
        <w:autoSpaceDE w:val="0"/>
        <w:autoSpaceDN/>
        <w:bidi w:val="0"/>
        <w:adjustRightInd/>
        <w:spacing w:beforeAutospacing="0" w:line="600"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161.00</w:t>
      </w:r>
      <w:r>
        <w:rPr>
          <w:rFonts w:hint="default" w:ascii="Times New Roman" w:hAnsi="Times New Roman" w:eastAsia="方正仿宋_GBK" w:cs="Times New Roman"/>
          <w:sz w:val="32"/>
          <w:szCs w:val="32"/>
          <w:shd w:val="clear" w:color="auto" w:fill="FFFFFF"/>
        </w:rPr>
        <w:t>万元，较上年决算数增加22.58万元，增长16.3%，主要原因是</w:t>
      </w:r>
      <w:r>
        <w:rPr>
          <w:rFonts w:hint="default" w:ascii="Times New Roman" w:hAnsi="Times New Roman" w:eastAsia="方正仿宋_GBK" w:cs="Times New Roman"/>
          <w:sz w:val="32"/>
          <w:szCs w:val="32"/>
          <w:shd w:val="clear" w:color="auto" w:fill="FFFFFF"/>
          <w:lang w:val="en-US" w:eastAsia="zh-CN"/>
        </w:rPr>
        <w:t>用于残疾人事业发展的彩票公益金收入增加。</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161</w:t>
      </w:r>
      <w:r>
        <w:rPr>
          <w:rFonts w:hint="default" w:ascii="Times New Roman" w:hAnsi="Times New Roman" w:eastAsia="方正仿宋_GBK" w:cs="Times New Roman"/>
          <w:sz w:val="32"/>
          <w:szCs w:val="32"/>
          <w:shd w:val="clear" w:color="auto" w:fill="FFFFFF"/>
        </w:rPr>
        <w:t>万元，较上年决算数增加22.58万元，增长16.3%，主要原因是</w:t>
      </w:r>
      <w:r>
        <w:rPr>
          <w:rFonts w:hint="default" w:ascii="Times New Roman" w:hAnsi="Times New Roman" w:eastAsia="方正仿宋_GBK" w:cs="Times New Roman"/>
          <w:sz w:val="32"/>
          <w:szCs w:val="32"/>
          <w:shd w:val="clear" w:color="auto" w:fill="FFFFFF"/>
          <w:lang w:val="en-US" w:eastAsia="zh-CN"/>
        </w:rPr>
        <w:t>比如本年度我会累计补助残疾人大学生54人次，发放补助金额14.7万元，较去年上涨407</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lang w:val="en-US" w:eastAsia="zh-CN"/>
        </w:rPr>
        <w:t>%。</w:t>
      </w:r>
    </w:p>
    <w:p>
      <w:pPr>
        <w:pStyle w:val="11"/>
        <w:keepNext w:val="0"/>
        <w:keepLines w:val="0"/>
        <w:pageBreakBefore w:val="0"/>
        <w:widowControl/>
        <w:kinsoku/>
        <w:overflowPunct/>
        <w:topLinePunct w:val="0"/>
        <w:autoSpaceDE w:val="0"/>
        <w:autoSpaceDN/>
        <w:bidi w:val="0"/>
        <w:adjustRightInd/>
        <w:spacing w:beforeAutospacing="0" w:line="600"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lang w:val="en-US" w:eastAsia="zh-CN"/>
        </w:rPr>
        <w:t>2023年度无国有资本经营预算财政拨款支出。</w:t>
      </w:r>
    </w:p>
    <w:p>
      <w:pPr>
        <w:pStyle w:val="6"/>
        <w:keepNext w:val="0"/>
        <w:keepLines w:val="0"/>
        <w:pageBreakBefore w:val="0"/>
        <w:widowControl/>
        <w:shd w:val="clear" w:color="auto" w:fill="FFFFFF"/>
        <w:kinsoku/>
        <w:overflowPunct/>
        <w:topLinePunct w:val="0"/>
        <w:autoSpaceDN/>
        <w:bidi w:val="0"/>
        <w:adjustRightInd/>
        <w:spacing w:beforeAutospacing="0" w:line="600" w:lineRule="exact"/>
        <w:ind w:firstLine="640" w:firstLineChars="200"/>
        <w:rPr>
          <w:rStyle w:val="10"/>
          <w:rFonts w:hint="eastAsia"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三、“三公”经费情况说明</w:t>
      </w:r>
    </w:p>
    <w:p>
      <w:pPr>
        <w:pStyle w:val="11"/>
        <w:keepNext w:val="0"/>
        <w:keepLines w:val="0"/>
        <w:pageBreakBefore w:val="0"/>
        <w:widowControl/>
        <w:kinsoku/>
        <w:overflowPunct/>
        <w:topLinePunct w:val="0"/>
        <w:autoSpaceDE w:val="0"/>
        <w:autoSpaceDN/>
        <w:bidi w:val="0"/>
        <w:adjustRightInd/>
        <w:spacing w:beforeAutospacing="0" w:line="600"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（一）“三公”经费支出总体情况说明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4.26</w:t>
      </w:r>
      <w:r>
        <w:rPr>
          <w:rFonts w:hint="default" w:ascii="Times New Roman" w:hAnsi="Times New Roman" w:eastAsia="方正仿宋_GBK" w:cs="Times New Roman"/>
          <w:sz w:val="32"/>
          <w:szCs w:val="32"/>
          <w:shd w:val="clear" w:color="auto" w:fill="FFFFFF"/>
        </w:rPr>
        <w:t>万元，较年初预算数减少0.74万元，下降14.8%，主要原因是认真贯彻落实中央八项规定精神，按照只减不增的要求从严控制“三公”经费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较上年支出数减少0.52万元，下降10.</w:t>
      </w:r>
      <w:r>
        <w:rPr>
          <w:rFonts w:hint="eastAsia"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%，主要原因是认真贯彻落实中央八项规定精神，按照只减不增的要求从严控制“三公”经费</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overflowPunct/>
        <w:topLinePunct w:val="0"/>
        <w:autoSpaceDE w:val="0"/>
        <w:autoSpaceDN/>
        <w:bidi w:val="0"/>
        <w:adjustRightInd/>
        <w:spacing w:beforeAutospacing="0" w:line="600"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w:t>
      </w:r>
      <w:r>
        <w:rPr>
          <w:rFonts w:hint="default" w:ascii="Times New Roman" w:hAnsi="Times New Roman" w:eastAsia="方正仿宋_GBK" w:cs="Times New Roman"/>
          <w:sz w:val="32"/>
          <w:szCs w:val="32"/>
          <w:shd w:val="clear" w:color="auto" w:fill="FFFFFF"/>
          <w:lang w:val="en-US" w:eastAsia="zh-CN"/>
        </w:rPr>
        <w:t>未发生</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 </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2023年度本单位</w:t>
      </w:r>
      <w:r>
        <w:rPr>
          <w:rFonts w:hint="default" w:ascii="Times New Roman" w:hAnsi="Times New Roman" w:eastAsia="方正仿宋_GBK" w:cs="Times New Roman"/>
          <w:sz w:val="32"/>
          <w:szCs w:val="32"/>
          <w:shd w:val="clear" w:color="auto" w:fill="FFFFFF"/>
          <w:lang w:val="en-US" w:eastAsia="zh-CN"/>
        </w:rPr>
        <w:t>未发生</w:t>
      </w: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3.74</w:t>
      </w:r>
      <w:r>
        <w:rPr>
          <w:rFonts w:hint="default" w:ascii="Times New Roman" w:hAnsi="Times New Roman" w:eastAsia="方正仿宋_GBK" w:cs="Times New Roman"/>
          <w:sz w:val="32"/>
          <w:szCs w:val="32"/>
          <w:shd w:val="clear" w:color="auto" w:fill="FFFFFF"/>
        </w:rPr>
        <w:t>万元，主要用于开展业务所需车辆的燃料费、维修费、过路过桥费、保险费等。费用支出较年初预算数减少0.26万元，下降6.5%，主要原因是严格落实公车使用规定，公车运行维护成本有所下降。较上年支出数减少0.04万元，下降1.</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%，主要原因是严格落实公车使用规定，公车运行维护成本有所下降</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0.53</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i w:val="0"/>
          <w:iCs w:val="0"/>
          <w:caps w:val="0"/>
          <w:color w:val="000000"/>
          <w:spacing w:val="0"/>
          <w:sz w:val="32"/>
          <w:szCs w:val="32"/>
        </w:rPr>
        <w:t>接待</w:t>
      </w:r>
      <w:r>
        <w:rPr>
          <w:rFonts w:hint="default" w:ascii="Times New Roman" w:hAnsi="Times New Roman" w:eastAsia="方正仿宋_GBK" w:cs="Times New Roman"/>
          <w:i w:val="0"/>
          <w:iCs w:val="0"/>
          <w:caps w:val="0"/>
          <w:color w:val="000000"/>
          <w:spacing w:val="0"/>
          <w:sz w:val="32"/>
          <w:szCs w:val="32"/>
          <w:shd w:val="clear" w:fill="FFFFFF"/>
        </w:rPr>
        <w:t>其他区县残联到我会调研交流工作、接受相关部门检查指导工作、乡镇残联办理业务发生的接待支出</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sz w:val="32"/>
          <w:szCs w:val="32"/>
          <w:shd w:val="clear" w:color="auto" w:fill="FFFFFF"/>
        </w:rPr>
        <w:t>费用支出较年初预算数减少0.47万元，下降47.0%，主要原因是</w:t>
      </w:r>
      <w:r>
        <w:rPr>
          <w:rFonts w:hint="default" w:ascii="Times New Roman" w:hAnsi="Times New Roman" w:eastAsia="方正仿宋_GBK" w:cs="Times New Roman"/>
          <w:i w:val="0"/>
          <w:iCs w:val="0"/>
          <w:caps w:val="0"/>
          <w:color w:val="000000"/>
          <w:spacing w:val="0"/>
          <w:sz w:val="32"/>
          <w:szCs w:val="32"/>
          <w:shd w:val="clear" w:fill="FFFFFF"/>
        </w:rPr>
        <w:t>严把接待关，坚持非必要不接待，无公文不接待，严禁铺张浪费。</w:t>
      </w:r>
      <w:r>
        <w:rPr>
          <w:rFonts w:hint="default" w:ascii="Times New Roman" w:hAnsi="Times New Roman" w:eastAsia="方正仿宋_GBK" w:cs="Times New Roman"/>
          <w:sz w:val="32"/>
          <w:szCs w:val="32"/>
          <w:shd w:val="clear" w:color="auto" w:fill="FFFFFF"/>
        </w:rPr>
        <w:t>较上年支出数减少0.47万元，下降47.0%，主要原因是</w:t>
      </w:r>
      <w:r>
        <w:rPr>
          <w:rFonts w:hint="default" w:ascii="Times New Roman" w:hAnsi="Times New Roman" w:eastAsia="方正仿宋_GBK" w:cs="Times New Roman"/>
          <w:i w:val="0"/>
          <w:iCs w:val="0"/>
          <w:caps w:val="0"/>
          <w:color w:val="000000"/>
          <w:spacing w:val="0"/>
          <w:sz w:val="32"/>
          <w:szCs w:val="32"/>
          <w:shd w:val="clear" w:fill="FFFFFF"/>
        </w:rPr>
        <w:t>严把接待关，坚持非必要不接待，无公文不接待，严禁铺张浪费。</w:t>
      </w:r>
    </w:p>
    <w:p>
      <w:pPr>
        <w:pStyle w:val="11"/>
        <w:keepNext w:val="0"/>
        <w:keepLines w:val="0"/>
        <w:pageBreakBefore w:val="0"/>
        <w:widowControl/>
        <w:kinsoku/>
        <w:overflowPunct/>
        <w:topLinePunct w:val="0"/>
        <w:autoSpaceDE w:val="0"/>
        <w:autoSpaceDN/>
        <w:bidi w:val="0"/>
        <w:adjustRightInd/>
        <w:spacing w:beforeAutospacing="0" w:line="600"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rPr>
        <w:t>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105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50.1</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3.74</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numPr>
          <w:ilvl w:val="0"/>
          <w:numId w:val="1"/>
        </w:numPr>
        <w:shd w:val="clear" w:color="auto" w:fill="FFFFFF"/>
        <w:kinsoku/>
        <w:overflowPunct/>
        <w:topLinePunct w:val="0"/>
        <w:autoSpaceDN/>
        <w:bidi w:val="0"/>
        <w:adjustRightInd/>
        <w:spacing w:beforeAutospacing="0" w:line="600" w:lineRule="exact"/>
        <w:ind w:firstLine="640" w:firstLineChars="200"/>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其他需要说明的事项</w:t>
      </w:r>
    </w:p>
    <w:p>
      <w:pPr>
        <w:pStyle w:val="11"/>
        <w:keepNext w:val="0"/>
        <w:keepLines w:val="0"/>
        <w:pageBreakBefore w:val="0"/>
        <w:widowControl/>
        <w:kinsoku/>
        <w:overflowPunct/>
        <w:topLinePunct w:val="0"/>
        <w:autoSpaceDE w:val="0"/>
        <w:autoSpaceDN/>
        <w:bidi w:val="0"/>
        <w:adjustRightInd/>
        <w:spacing w:beforeAutospacing="0" w:line="600"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（一）财政拨款会议费和培训费情况说明</w:t>
      </w:r>
    </w:p>
    <w:p>
      <w:pPr>
        <w:pStyle w:val="11"/>
        <w:keepNext w:val="0"/>
        <w:keepLines w:val="0"/>
        <w:pageBreakBefore w:val="0"/>
        <w:widowControl/>
        <w:kinsoku/>
        <w:overflowPunct/>
        <w:topLinePunct w:val="0"/>
        <w:autoSpaceDE w:val="0"/>
        <w:autoSpaceDN/>
        <w:bidi w:val="0"/>
        <w:adjustRightInd/>
        <w:spacing w:beforeAutospacing="0" w:line="60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本年度会议费支出4.93万元，较上年决算数减少33.18万元，下降87.</w:t>
      </w:r>
      <w:r>
        <w:rPr>
          <w:rFonts w:hint="eastAsia" w:ascii="Times New Roman" w:hAnsi="Times New Roman" w:eastAsia="方正仿宋_GBK" w:cs="Times New Roman"/>
          <w:b w:val="0"/>
          <w:bCs w:val="0"/>
          <w:sz w:val="32"/>
          <w:szCs w:val="32"/>
          <w:shd w:val="clear" w:color="auto" w:fill="FFFFFF"/>
          <w:lang w:val="en-US" w:eastAsia="zh-CN"/>
        </w:rPr>
        <w:t>1</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大型会议减少</w:t>
      </w:r>
      <w:r>
        <w:rPr>
          <w:rFonts w:hint="default" w:ascii="Times New Roman" w:hAnsi="Times New Roman" w:eastAsia="方正仿宋_GBK" w:cs="Times New Roman"/>
          <w:b w:val="0"/>
          <w:bCs w:val="0"/>
          <w:sz w:val="32"/>
          <w:szCs w:val="32"/>
          <w:shd w:val="clear" w:color="auto" w:fill="FFFFFF"/>
        </w:rPr>
        <w:t>。本年度培训费支出6万元，较上年决算数减少14万元，下降70.0%，主要原因是</w:t>
      </w:r>
      <w:r>
        <w:rPr>
          <w:rFonts w:hint="default" w:ascii="Times New Roman" w:hAnsi="Times New Roman" w:eastAsia="方正仿宋_GBK" w:cs="Times New Roman"/>
          <w:b w:val="0"/>
          <w:bCs w:val="0"/>
          <w:sz w:val="32"/>
          <w:szCs w:val="32"/>
          <w:shd w:val="clear" w:color="auto" w:fill="FFFFFF"/>
          <w:lang w:val="en-US" w:eastAsia="zh-CN"/>
        </w:rPr>
        <w:t>本年度残疾人实用技术培训及职业技能培训委托三方培训机构进行，</w:t>
      </w:r>
      <w:r>
        <w:rPr>
          <w:rFonts w:hint="default" w:ascii="Times New Roman" w:hAnsi="Times New Roman" w:eastAsia="方正仿宋_GBK" w:cs="Times New Roman"/>
          <w:sz w:val="32"/>
          <w:szCs w:val="32"/>
          <w:shd w:val="clear" w:color="auto" w:fill="FFFFFF"/>
          <w:lang w:val="en-US" w:eastAsia="zh-CN"/>
        </w:rPr>
        <w:t>经济科目计入委托业务费或劳务费</w:t>
      </w:r>
      <w:r>
        <w:rPr>
          <w:rFonts w:hint="default" w:ascii="Times New Roman" w:hAnsi="Times New Roman" w:eastAsia="方正仿宋_GBK" w:cs="Times New Roman"/>
          <w:sz w:val="32"/>
          <w:szCs w:val="32"/>
          <w:shd w:val="clear" w:color="auto" w:fill="FFFFFF"/>
        </w:rPr>
        <w:t>。</w:t>
      </w:r>
    </w:p>
    <w:p>
      <w:pPr>
        <w:pStyle w:val="11"/>
        <w:keepNext w:val="0"/>
        <w:keepLines w:val="0"/>
        <w:pageBreakBefore w:val="0"/>
        <w:widowControl/>
        <w:kinsoku/>
        <w:overflowPunct/>
        <w:topLinePunct w:val="0"/>
        <w:autoSpaceDE w:val="0"/>
        <w:autoSpaceDN/>
        <w:bidi w:val="0"/>
        <w:adjustRightInd/>
        <w:spacing w:beforeAutospacing="0" w:line="600"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rPr>
        <w:t>机关运行经费支出</w:t>
      </w:r>
      <w:r>
        <w:rPr>
          <w:rFonts w:hint="default" w:ascii="Times New Roman" w:hAnsi="Times New Roman" w:eastAsia="方正仿宋_GBK" w:cs="Times New Roman"/>
          <w:sz w:val="32"/>
          <w:szCs w:val="32"/>
        </w:rPr>
        <w:t>23.41</w:t>
      </w:r>
      <w:r>
        <w:rPr>
          <w:rFonts w:hint="default" w:ascii="Times New Roman" w:hAnsi="Times New Roman" w:eastAsia="方正仿宋_GBK" w:cs="Times New Roman"/>
          <w:sz w:val="32"/>
          <w:szCs w:val="32"/>
          <w:shd w:val="clear" w:color="auto" w:fill="FFFFFF"/>
        </w:rPr>
        <w:t>万元，机关运行经费主要用于开支机关运行经费主要用于开支办公费、水费、电费、邮电费、物业管理费、差旅费、维修费、公务接待费、委托业务费、工会经费、福利费、公务用车运行维护费、其他交通费用、其他商品和服务支出。机关运行经费较上年支出数减少4.98万元，下降17.5%，主要原因是</w:t>
      </w:r>
      <w:r>
        <w:rPr>
          <w:rFonts w:hint="default" w:ascii="Times New Roman" w:hAnsi="Times New Roman" w:eastAsia="方正仿宋_GBK" w:cs="Times New Roman"/>
          <w:sz w:val="32"/>
          <w:szCs w:val="32"/>
          <w:shd w:val="clear" w:color="auto" w:fill="FFFFFF"/>
          <w:lang w:val="en-US" w:eastAsia="zh-CN"/>
        </w:rPr>
        <w:t>全年平均在编在岗人员减少。</w:t>
      </w:r>
    </w:p>
    <w:p>
      <w:pPr>
        <w:pStyle w:val="11"/>
        <w:keepNext w:val="0"/>
        <w:keepLines w:val="0"/>
        <w:pageBreakBefore w:val="0"/>
        <w:widowControl/>
        <w:kinsoku/>
        <w:overflowPunct/>
        <w:topLinePunct w:val="0"/>
        <w:autoSpaceDE w:val="0"/>
        <w:autoSpaceDN/>
        <w:bidi w:val="0"/>
        <w:adjustRightInd/>
        <w:spacing w:beforeAutospacing="0" w:line="600"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overflowPunct/>
        <w:topLinePunct w:val="0"/>
        <w:autoSpaceDE w:val="0"/>
        <w:autoSpaceDN/>
        <w:bidi w:val="0"/>
        <w:adjustRightInd/>
        <w:spacing w:beforeAutospacing="0" w:line="600"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2023年度我单位未发生政府采购事项，无相关经费支出。</w:t>
      </w:r>
    </w:p>
    <w:p>
      <w:pPr>
        <w:pStyle w:val="6"/>
        <w:keepNext w:val="0"/>
        <w:keepLines w:val="0"/>
        <w:pageBreakBefore w:val="0"/>
        <w:widowControl/>
        <w:shd w:val="clear" w:color="auto" w:fill="FFFFFF"/>
        <w:kinsoku/>
        <w:overflowPunct/>
        <w:topLinePunct w:val="0"/>
        <w:autoSpaceDN/>
        <w:bidi w:val="0"/>
        <w:adjustRightInd/>
        <w:spacing w:beforeAutospacing="0" w:line="600" w:lineRule="exact"/>
        <w:ind w:firstLine="640" w:firstLineChars="200"/>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eastAsia" w:ascii="Times New Roman" w:hAnsi="Times New Roman" w:eastAsia="方正黑体_GBK" w:cs="Times New Roman"/>
          <w:b w:val="0"/>
          <w:bCs/>
          <w:sz w:val="32"/>
          <w:szCs w:val="32"/>
          <w:shd w:val="clear" w:color="auto" w:fill="FFFFFF"/>
          <w:lang w:val="en-US" w:eastAsia="zh-CN"/>
        </w:rPr>
        <w:t>五、</w:t>
      </w:r>
      <w:r>
        <w:rPr>
          <w:rStyle w:val="10"/>
          <w:rFonts w:hint="default" w:ascii="Times New Roman" w:hAnsi="Times New Roman" w:eastAsia="方正黑体_GBK" w:cs="Times New Roman"/>
          <w:b w:val="0"/>
          <w:bCs/>
          <w:sz w:val="32"/>
          <w:szCs w:val="32"/>
          <w:shd w:val="clear" w:color="auto" w:fill="FFFFFF"/>
          <w:lang w:val="en-US" w:eastAsia="zh-CN"/>
        </w:rPr>
        <w:t>预算绩效管理情况说明</w:t>
      </w:r>
    </w:p>
    <w:p>
      <w:pPr>
        <w:pStyle w:val="11"/>
        <w:keepNext w:val="0"/>
        <w:keepLines w:val="0"/>
        <w:pageBreakBefore w:val="0"/>
        <w:widowControl/>
        <w:kinsoku/>
        <w:overflowPunct/>
        <w:topLinePunct w:val="0"/>
        <w:autoSpaceDE w:val="0"/>
        <w:autoSpaceDN/>
        <w:bidi w:val="0"/>
        <w:adjustRightInd/>
        <w:spacing w:beforeAutospacing="0" w:line="600"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w:t>
      </w:r>
      <w:r>
        <w:rPr>
          <w:rFonts w:hint="eastAsia" w:ascii="Times New Roman" w:hAnsi="Times New Roman" w:eastAsia="方正楷体_GBK" w:cs="Times New Roman"/>
          <w:b w:val="0"/>
          <w:bCs w:val="0"/>
          <w:sz w:val="32"/>
          <w:szCs w:val="32"/>
          <w:shd w:val="clear" w:color="auto" w:fill="FFFFFF"/>
          <w:lang w:val="en-US" w:eastAsia="zh-CN"/>
        </w:rPr>
        <w:t>部门</w:t>
      </w:r>
      <w:r>
        <w:rPr>
          <w:rFonts w:hint="default" w:ascii="Times New Roman" w:hAnsi="Times New Roman" w:eastAsia="方正楷体_GBK" w:cs="Times New Roman"/>
          <w:b w:val="0"/>
          <w:bCs w:val="0"/>
          <w:sz w:val="32"/>
          <w:szCs w:val="32"/>
          <w:shd w:val="clear" w:color="auto" w:fill="FFFFFF"/>
        </w:rPr>
        <w:t>自评情况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10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根据预算绩效管理要求，我</w:t>
      </w:r>
      <w:r>
        <w:rPr>
          <w:rFonts w:hint="eastAsia" w:ascii="Times New Roman" w:hAnsi="Times New Roman" w:eastAsia="方正仿宋_GBK" w:cs="Times New Roman"/>
          <w:i w:val="0"/>
          <w:iCs w:val="0"/>
          <w:caps w:val="0"/>
          <w:color w:val="000000"/>
          <w:spacing w:val="0"/>
          <w:sz w:val="32"/>
          <w:szCs w:val="32"/>
          <w:shd w:val="clear" w:fill="FFFFFF"/>
          <w:lang w:val="en-US" w:eastAsia="zh-CN"/>
        </w:rPr>
        <w:t>部门对</w:t>
      </w:r>
      <w:r>
        <w:rPr>
          <w:rFonts w:hint="default" w:ascii="Times New Roman" w:hAnsi="Times New Roman" w:eastAsia="方正仿宋_GBK" w:cs="Times New Roman"/>
          <w:i w:val="0"/>
          <w:iCs w:val="0"/>
          <w:caps w:val="0"/>
          <w:color w:val="000000"/>
          <w:spacing w:val="0"/>
          <w:sz w:val="32"/>
          <w:szCs w:val="32"/>
          <w:shd w:val="clear" w:fill="FFFFFF"/>
        </w:rPr>
        <w:t>部门</w:t>
      </w:r>
      <w:r>
        <w:rPr>
          <w:rFonts w:hint="eastAsia" w:ascii="Times New Roman" w:hAnsi="Times New Roman" w:eastAsia="方正仿宋_GBK" w:cs="Times New Roman"/>
          <w:i w:val="0"/>
          <w:iCs w:val="0"/>
          <w:caps w:val="0"/>
          <w:color w:val="000000"/>
          <w:spacing w:val="0"/>
          <w:sz w:val="32"/>
          <w:szCs w:val="32"/>
          <w:shd w:val="clear" w:fill="FFFFFF"/>
          <w:lang w:val="en-US" w:eastAsia="zh-CN"/>
        </w:rPr>
        <w:t>整体</w:t>
      </w:r>
      <w:r>
        <w:rPr>
          <w:rFonts w:hint="default" w:ascii="Times New Roman" w:hAnsi="Times New Roman" w:eastAsia="方正仿宋_GBK" w:cs="Times New Roman"/>
          <w:i w:val="0"/>
          <w:iCs w:val="0"/>
          <w:caps w:val="0"/>
          <w:color w:val="000000"/>
          <w:spacing w:val="0"/>
          <w:sz w:val="32"/>
          <w:szCs w:val="32"/>
          <w:shd w:val="clear" w:fill="FFFFFF"/>
        </w:rPr>
        <w:t>及</w:t>
      </w:r>
      <w:r>
        <w:rPr>
          <w:rFonts w:hint="default" w:ascii="Times New Roman" w:hAnsi="Times New Roman" w:eastAsia="宋体" w:cs="Times New Roman"/>
          <w:i w:val="0"/>
          <w:iCs w:val="0"/>
          <w:caps w:val="0"/>
          <w:color w:val="000000"/>
          <w:spacing w:val="0"/>
          <w:sz w:val="32"/>
          <w:szCs w:val="32"/>
          <w:shd w:val="clear" w:fill="FFFFFF"/>
        </w:rPr>
        <w:t>2</w:t>
      </w:r>
      <w:r>
        <w:rPr>
          <w:rFonts w:hint="default" w:ascii="Times New Roman" w:hAnsi="Times New Roman"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个二级项目开展了绩效自评，涉及财政拨款项目支出</w:t>
      </w:r>
      <w:r>
        <w:rPr>
          <w:rFonts w:hint="eastAsia" w:ascii="Times New Roman" w:hAnsi="Times New Roman" w:cs="Times New Roman"/>
          <w:i w:val="0"/>
          <w:iCs w:val="0"/>
          <w:caps w:val="0"/>
          <w:color w:val="auto"/>
          <w:spacing w:val="0"/>
          <w:sz w:val="32"/>
          <w:szCs w:val="32"/>
          <w:shd w:val="clear" w:fill="FFFFFF"/>
          <w:lang w:val="en-US" w:eastAsia="zh-CN"/>
        </w:rPr>
        <w:t>1420.16</w:t>
      </w:r>
      <w:r>
        <w:rPr>
          <w:rFonts w:hint="default" w:ascii="Times New Roman" w:hAnsi="Times New Roman" w:eastAsia="方正仿宋_GBK" w:cs="Times New Roman"/>
          <w:i w:val="0"/>
          <w:iCs w:val="0"/>
          <w:caps w:val="0"/>
          <w:color w:val="000000"/>
          <w:spacing w:val="0"/>
          <w:sz w:val="32"/>
          <w:szCs w:val="32"/>
          <w:shd w:val="clear" w:fill="FFFFFF"/>
        </w:rPr>
        <w:t>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100" w:afterAutospacing="0" w:line="60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sz w:val="32"/>
          <w:szCs w:val="32"/>
          <w:shd w:val="clear" w:fill="FFFFFF"/>
          <w:lang w:val="en-US" w:eastAsia="zh-CN"/>
        </w:rPr>
      </w:pPr>
    </w:p>
    <w:p>
      <w:pPr>
        <w:pStyle w:val="12"/>
        <w:spacing w:before="0" w:beforeAutospacing="0"/>
      </w:pPr>
      <w:r>
        <w:drawing>
          <wp:inline distT="0" distB="0" distL="114300" distR="114300">
            <wp:extent cx="5270500" cy="3184525"/>
            <wp:effectExtent l="0" t="0" r="6350" b="158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270500" cy="3184525"/>
                    </a:xfrm>
                    <a:prstGeom prst="rect">
                      <a:avLst/>
                    </a:prstGeom>
                    <a:noFill/>
                    <a:ln>
                      <a:noFill/>
                    </a:ln>
                  </pic:spPr>
                </pic:pic>
              </a:graphicData>
            </a:graphic>
          </wp:inline>
        </w:drawing>
      </w:r>
    </w:p>
    <w:p>
      <w:pPr>
        <w:pStyle w:val="12"/>
        <w:spacing w:before="0" w:beforeAutospacing="0"/>
      </w:pPr>
    </w:p>
    <w:p>
      <w:pPr>
        <w:pStyle w:val="12"/>
        <w:spacing w:before="0" w:beforeAutospacing="0"/>
        <w:rPr>
          <w:rFonts w:hint="eastAsia" w:ascii="方正楷体_GBK" w:hAnsi="方正楷体_GBK" w:eastAsia="方正楷体_GBK" w:cs="方正楷体_GBK"/>
          <w:b w:val="0"/>
          <w:bCs w:val="0"/>
          <w:sz w:val="32"/>
          <w:szCs w:val="32"/>
          <w:shd w:val="clear" w:color="auto" w:fill="FFFFFF"/>
          <w:lang w:eastAsia="zh-CN"/>
        </w:rPr>
      </w:pPr>
      <w:r>
        <w:drawing>
          <wp:inline distT="0" distB="0" distL="114300" distR="114300">
            <wp:extent cx="5280025" cy="2690495"/>
            <wp:effectExtent l="0" t="0" r="15875" b="1460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280025" cy="2690495"/>
                    </a:xfrm>
                    <a:prstGeom prst="rect">
                      <a:avLst/>
                    </a:prstGeom>
                    <a:noFill/>
                    <a:ln>
                      <a:noFill/>
                    </a:ln>
                  </pic:spPr>
                </pic:pic>
              </a:graphicData>
            </a:graphic>
          </wp:inline>
        </w:drawing>
      </w:r>
    </w:p>
    <w:p>
      <w:pPr>
        <w:pStyle w:val="11"/>
        <w:keepNext w:val="0"/>
        <w:keepLines w:val="0"/>
        <w:pageBreakBefore w:val="0"/>
        <w:widowControl/>
        <w:kinsoku/>
        <w:wordWrap/>
        <w:overflowPunct/>
        <w:topLinePunct w:val="0"/>
        <w:autoSpaceDE w:val="0"/>
        <w:autoSpaceDN/>
        <w:bidi w:val="0"/>
        <w:adjustRightInd/>
        <w:snapToGrid/>
        <w:spacing w:beforeAutospacing="0" w:line="60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lang w:val="en-US" w:eastAsia="zh-CN"/>
        </w:rPr>
        <w:t>二）部门</w:t>
      </w:r>
      <w:r>
        <w:rPr>
          <w:rFonts w:hint="eastAsia" w:ascii="方正楷体_GBK" w:hAnsi="方正楷体_GBK" w:eastAsia="方正楷体_GBK" w:cs="方正楷体_GBK"/>
          <w:b w:val="0"/>
          <w:bCs w:val="0"/>
          <w:sz w:val="32"/>
          <w:szCs w:val="32"/>
          <w:shd w:val="clear" w:color="auto" w:fill="FFFFFF"/>
        </w:rPr>
        <w:t>绩效评价情况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100" w:afterAutospacing="0" w:line="600" w:lineRule="exact"/>
        <w:ind w:left="0" w:right="0" w:firstLine="64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我部门未组织开展绩效评价。</w:t>
      </w:r>
    </w:p>
    <w:p>
      <w:pPr>
        <w:pStyle w:val="11"/>
        <w:keepNext w:val="0"/>
        <w:keepLines w:val="0"/>
        <w:pageBreakBefore w:val="0"/>
        <w:widowControl/>
        <w:kinsoku/>
        <w:overflowPunct/>
        <w:topLinePunct w:val="0"/>
        <w:autoSpaceDE w:val="0"/>
        <w:autoSpaceDN/>
        <w:bidi w:val="0"/>
        <w:adjustRightInd/>
        <w:spacing w:beforeAutospacing="0" w:line="600" w:lineRule="exact"/>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lang w:val="en-US" w:eastAsia="zh-CN"/>
        </w:rPr>
        <w:t>三）</w:t>
      </w:r>
      <w:r>
        <w:rPr>
          <w:rFonts w:hint="eastAsia" w:ascii="方正楷体_GBK" w:hAnsi="方正楷体_GBK" w:eastAsia="方正楷体_GBK" w:cs="方正楷体_GBK"/>
          <w:b w:val="0"/>
          <w:bCs w:val="0"/>
          <w:sz w:val="32"/>
          <w:szCs w:val="32"/>
          <w:shd w:val="clear" w:color="auto" w:fill="FFFFFF"/>
        </w:rPr>
        <w:t>财政绩效评价情况</w:t>
      </w:r>
    </w:p>
    <w:p>
      <w:pPr>
        <w:pStyle w:val="11"/>
        <w:keepNext w:val="0"/>
        <w:keepLines w:val="0"/>
        <w:pageBreakBefore w:val="0"/>
        <w:widowControl/>
        <w:numPr>
          <w:ilvl w:val="0"/>
          <w:numId w:val="0"/>
        </w:numPr>
        <w:kinsoku/>
        <w:overflowPunct/>
        <w:topLinePunct w:val="0"/>
        <w:autoSpaceDE w:val="0"/>
        <w:autoSpaceDN/>
        <w:bidi w:val="0"/>
        <w:adjustRightInd/>
        <w:spacing w:beforeAutospacing="0" w:line="60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县财政局未委托第三方对我部门开展绩效评价。</w:t>
      </w:r>
    </w:p>
    <w:p>
      <w:pPr>
        <w:pStyle w:val="6"/>
        <w:keepNext w:val="0"/>
        <w:keepLines w:val="0"/>
        <w:pageBreakBefore w:val="0"/>
        <w:widowControl/>
        <w:shd w:val="clear" w:color="auto" w:fill="FFFFFF"/>
        <w:kinsoku/>
        <w:overflowPunct/>
        <w:topLinePunct w:val="0"/>
        <w:autoSpaceDN/>
        <w:bidi w:val="0"/>
        <w:adjustRightInd/>
        <w:spacing w:beforeAutospacing="0" w:line="600" w:lineRule="exact"/>
        <w:rPr>
          <w:rStyle w:val="10"/>
          <w:rFonts w:hint="eastAsia" w:ascii="方正黑体_GBK" w:hAnsi="方正黑体_GBK" w:eastAsia="方正黑体_GBK" w:cs="方正黑体_GBK"/>
          <w:b w:val="0"/>
          <w:bCs/>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hint="eastAsia" w:ascii="方正黑体_GBK" w:hAnsi="方正黑体_GBK" w:eastAsia="方正黑体_GBK" w:cs="方正黑体_GBK"/>
          <w:b w:val="0"/>
          <w:bCs/>
          <w:sz w:val="32"/>
          <w:szCs w:val="32"/>
          <w:shd w:val="clear" w:color="auto" w:fill="FFFFFF"/>
          <w:lang w:val="en-US" w:eastAsia="zh-CN"/>
        </w:rPr>
        <w:t xml:space="preserve"> </w:t>
      </w:r>
      <w:r>
        <w:rPr>
          <w:rStyle w:val="10"/>
          <w:rFonts w:hint="eastAsia" w:ascii="方正黑体_GBK" w:hAnsi="方正黑体_GBK" w:eastAsia="方正黑体_GBK" w:cs="方正黑体_GBK"/>
          <w:b w:val="0"/>
          <w:bCs/>
          <w:sz w:val="32"/>
          <w:szCs w:val="32"/>
          <w:shd w:val="clear" w:color="auto" w:fill="FFFFFF"/>
        </w:rPr>
        <w:t xml:space="preserve"> 六、专业名词解释</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overflowPunct/>
        <w:topLinePunct w:val="0"/>
        <w:autoSpaceDN/>
        <w:bidi w:val="0"/>
        <w:adjustRightInd/>
        <w:spacing w:beforeAutospacing="0" w:line="600" w:lineRule="exact"/>
        <w:rPr>
          <w:rStyle w:val="10"/>
          <w:rFonts w:hint="eastAsia" w:ascii="方正黑体_GBK" w:hAnsi="方正黑体_GBK" w:eastAsia="方正黑体_GBK" w:cs="方正黑体_GBK"/>
          <w:b w:val="0"/>
          <w:bCs/>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hint="eastAsia" w:ascii="方正黑体_GBK" w:hAnsi="方正黑体_GBK" w:eastAsia="方正黑体_GBK" w:cs="方正黑体_GBK"/>
          <w:b w:val="0"/>
          <w:bCs/>
          <w:sz w:val="32"/>
          <w:szCs w:val="32"/>
          <w:shd w:val="clear" w:color="auto" w:fill="FFFFFF"/>
        </w:rPr>
        <w:t xml:space="preserve"> 七、决算公开联系方式及信息反馈渠道</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val="en-US" w:eastAsia="zh-CN"/>
        </w:rPr>
        <w:t xml:space="preserve">何鑫 </w:t>
      </w:r>
      <w:r>
        <w:rPr>
          <w:rFonts w:hint="default" w:ascii="Times New Roman" w:hAnsi="Times New Roman" w:eastAsia="方正仿宋_GBK" w:cs="Times New Roman"/>
          <w:sz w:val="32"/>
          <w:szCs w:val="32"/>
          <w:shd w:val="clear" w:color="auto" w:fill="FFFFFF"/>
          <w:lang w:val="en-US" w:eastAsia="zh-CN"/>
        </w:rPr>
        <w:t>023-51521095</w:t>
      </w:r>
      <w:r>
        <w:rPr>
          <w:rFonts w:hint="default" w:ascii="Times New Roman" w:hAnsi="Times New Roman" w:eastAsia="方正仿宋_GBK" w:cs="Times New Roman"/>
          <w:sz w:val="32"/>
          <w:szCs w:val="32"/>
          <w:shd w:val="clear" w:color="auto" w:fill="FFFFFF"/>
        </w:rPr>
        <w:t>。</w:t>
      </w:r>
    </w:p>
    <w:p>
      <w:pPr>
        <w:pStyle w:val="12"/>
        <w:spacing w:before="0" w:beforeAutospacing="0"/>
        <w:rPr>
          <w:rFonts w:hint="eastAsia" w:ascii="方正仿宋_GBK" w:hAnsi="方正仿宋_GBK" w:eastAsia="方正仿宋_GBK" w:cs="方正仿宋_GBK"/>
          <w:sz w:val="32"/>
          <w:szCs w:val="32"/>
        </w:rPr>
      </w:pPr>
    </w:p>
    <w:p>
      <w:pPr>
        <w:pStyle w:val="12"/>
        <w:spacing w:before="0" w:beforeAutospacing="0"/>
        <w:rPr>
          <w:rFonts w:ascii="方正仿宋_GBK" w:hAnsi="方正仿宋_GBK" w:eastAsia="方正仿宋_GBK" w:cs="方正仿宋_GBK"/>
          <w:sz w:val="32"/>
          <w:szCs w:val="32"/>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重庆市巫溪县残疾人联合会</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1,418.50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161.00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1,404.37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161.00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1,579.50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1,579.50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1,579.50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1,579.50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重庆市巫溪县残疾人联合会</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1,579.50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1,579.50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1,404.37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1,404.37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1,371.65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1,371.65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用于残疾人事业的彩票公益金支出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重庆市巫溪县残疾人联合会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1,579.50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159.34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1,420.16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1,404.37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1,259.16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1,371.65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1,259.16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800.72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用于残疾人事业的彩票公益金支出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重庆市巫溪县残疾人联合会</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1,418.50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161.00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1,404.37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1,404.37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1,579.50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1,579.50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1,418.50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1,579.50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1,579.50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1,418.50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重庆市巫溪县残疾人联合会</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1,418.50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159.34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1,259.16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1,404.37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145.21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1,259.16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1,371.65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1,259.16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93.17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235.64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207.80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207.80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820.04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800.72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重庆市巫溪县残疾人联合会</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135.92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重庆市巫溪县残疾人联合会</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161.00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161.00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161.00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用于残疾人事业的彩票公益金支出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重庆市巫溪县残疾人联合会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重庆市巫溪县残疾人联合会</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23.41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4.26</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4.26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23.41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3.74</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3.74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3.74</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3.74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0.53</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4.93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88812C"/>
    <w:multiLevelType w:val="singleLevel"/>
    <w:tmpl w:val="BF88812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ODE5NDEyOWE3ZDJlMGQ0ZTM4YjYyZjdmNjJjYjQ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5D6E0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BE4315A"/>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DE10C43"/>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6C774AF"/>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AB77A8"/>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107487"/>
    <w:rsid w:val="708F6F7F"/>
    <w:rsid w:val="70D94BD3"/>
    <w:rsid w:val="71C34D91"/>
    <w:rsid w:val="72DB435C"/>
    <w:rsid w:val="72E2613A"/>
    <w:rsid w:val="72F771F4"/>
    <w:rsid w:val="736650B0"/>
    <w:rsid w:val="73934AD2"/>
    <w:rsid w:val="73CB514A"/>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1</TotalTime>
  <ScaleCrop>false</ScaleCrop>
  <LinksUpToDate>false</LinksUpToDate>
  <CharactersWithSpaces>27389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2024-09-26T06:48:00Z</cp:lastPrinted>
  <dcterms:modified xsi:type="dcterms:W3CDTF">2024-09-30T03:41:23Z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6E7D702B19604A0DB3D36F4ADB6FD5A4_13</vt:lpwstr>
  </property>
</Properties>
</file>