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600" w:lineRule="exact"/>
        <w:ind w:left="0"/>
        <w:jc w:val="center"/>
        <w:textAlignment w:val="auto"/>
        <w:rPr>
          <w:rFonts w:hint="default" w:ascii="方正小标宋_GBK" w:hAnsi="方正小标宋_GBK" w:eastAsia="方正小标宋_GBK" w:cs="方正小标宋_GBK"/>
          <w:sz w:val="36"/>
          <w:szCs w:val="36"/>
          <w:highlight w:val="none"/>
          <w:shd w:val="clear" w:color="auto" w:fill="FFFFFF"/>
        </w:rPr>
      </w:pPr>
      <w:r>
        <w:rPr>
          <w:rFonts w:ascii="方正小标宋_GBK" w:hAnsi="方正小标宋_GBK" w:eastAsia="方正小标宋_GBK" w:cs="方正小标宋_GBK"/>
          <w:sz w:val="36"/>
          <w:szCs w:val="36"/>
          <w:highlight w:val="none"/>
        </w:rPr>
        <w:t>重庆巫溪工业园区管理委员会</w:t>
      </w:r>
      <w:r>
        <w:rPr>
          <w:rFonts w:ascii="方正小标宋_GBK" w:hAnsi="方正小标宋_GBK" w:eastAsia="方正小标宋_GBK" w:cs="方正小标宋_GBK"/>
          <w:sz w:val="36"/>
          <w:szCs w:val="36"/>
          <w:highlight w:val="none"/>
          <w:shd w:val="clear" w:color="auto" w:fill="FFFFFF"/>
        </w:rPr>
        <w:t>2023年度决算公开说明</w:t>
      </w:r>
    </w:p>
    <w:p>
      <w:pPr>
        <w:pStyle w:val="6"/>
        <w:keepNext w:val="0"/>
        <w:keepLines w:val="0"/>
        <w:pageBreakBefore w:val="0"/>
        <w:shd w:val="clear" w:color="auto"/>
        <w:kinsoku/>
        <w:wordWrap/>
        <w:overflowPunct/>
        <w:topLinePunct w:val="0"/>
        <w:autoSpaceDN/>
        <w:bidi w:val="0"/>
        <w:adjustRightInd w:val="0"/>
        <w:snapToGrid w:val="0"/>
        <w:spacing w:before="0" w:beforeAutospacing="0" w:after="0" w:afterAutospacing="0" w:line="600" w:lineRule="exact"/>
        <w:ind w:left="0" w:firstLine="643" w:firstLineChars="200"/>
        <w:textAlignment w:val="auto"/>
        <w:rPr>
          <w:rStyle w:val="10"/>
          <w:rFonts w:ascii="黑体" w:hAnsi="黑体" w:eastAsia="黑体" w:cs="黑体"/>
          <w:sz w:val="32"/>
          <w:szCs w:val="32"/>
          <w:highlight w:val="none"/>
          <w:shd w:val="clear" w:color="auto" w:fill="FFFFFF"/>
        </w:rPr>
      </w:pPr>
    </w:p>
    <w:p>
      <w:pPr>
        <w:pStyle w:val="6"/>
        <w:keepNext w:val="0"/>
        <w:keepLines w:val="0"/>
        <w:pageBreakBefore w:val="0"/>
        <w:shd w:val="clear" w:color="auto"/>
        <w:kinsoku/>
        <w:wordWrap/>
        <w:overflowPunct/>
        <w:topLinePunct w:val="0"/>
        <w:autoSpaceDN/>
        <w:bidi w:val="0"/>
        <w:adjustRightInd w:val="0"/>
        <w:snapToGrid w:val="0"/>
        <w:spacing w:before="0" w:beforeAutospacing="0" w:after="0" w:afterAutospacing="0" w:line="600" w:lineRule="exact"/>
        <w:ind w:left="0" w:firstLine="640" w:firstLineChars="200"/>
        <w:textAlignment w:val="auto"/>
        <w:rPr>
          <w:rFonts w:hint="eastAsia" w:ascii="方正黑体_GBK" w:hAnsi="方正黑体_GBK" w:eastAsia="方正黑体_GBK" w:cs="方正黑体_GBK"/>
          <w:b w:val="0"/>
          <w:bCs/>
          <w:sz w:val="32"/>
          <w:szCs w:val="32"/>
          <w:highlight w:val="none"/>
        </w:rPr>
      </w:pPr>
      <w:r>
        <w:rPr>
          <w:rStyle w:val="10"/>
          <w:rFonts w:hint="eastAsia" w:ascii="方正黑体_GBK" w:hAnsi="方正黑体_GBK" w:eastAsia="方正黑体_GBK" w:cs="方正黑体_GBK"/>
          <w:b w:val="0"/>
          <w:bCs/>
          <w:sz w:val="32"/>
          <w:szCs w:val="32"/>
          <w:highlight w:val="none"/>
          <w:shd w:val="clear" w:color="auto" w:fill="FFFFFF"/>
        </w:rPr>
        <w:t>一、</w:t>
      </w:r>
      <w:r>
        <w:rPr>
          <w:rStyle w:val="10"/>
          <w:rFonts w:hint="eastAsia" w:ascii="方正黑体_GBK" w:hAnsi="方正黑体_GBK" w:eastAsia="方正黑体_GBK" w:cs="方正黑体_GBK"/>
          <w:b w:val="0"/>
          <w:bCs/>
          <w:sz w:val="32"/>
          <w:szCs w:val="32"/>
          <w:highlight w:val="none"/>
          <w:shd w:val="clear" w:color="auto" w:fill="FFFFFF"/>
          <w:lang w:val="en-US" w:eastAsia="zh-CN"/>
        </w:rPr>
        <w:t>部门</w:t>
      </w:r>
      <w:r>
        <w:rPr>
          <w:rStyle w:val="10"/>
          <w:rFonts w:hint="eastAsia" w:ascii="方正黑体_GBK" w:hAnsi="方正黑体_GBK" w:eastAsia="方正黑体_GBK" w:cs="方正黑体_GBK"/>
          <w:b w:val="0"/>
          <w:bCs/>
          <w:sz w:val="32"/>
          <w:szCs w:val="32"/>
          <w:highlight w:val="none"/>
          <w:shd w:val="clear" w:color="auto" w:fill="FFFFFF"/>
        </w:rPr>
        <w:t>基本情况</w:t>
      </w:r>
    </w:p>
    <w:p>
      <w:pPr>
        <w:pStyle w:val="6"/>
        <w:keepNext w:val="0"/>
        <w:keepLines w:val="0"/>
        <w:pageBreakBefore w:val="0"/>
        <w:shd w:val="clear" w:color="auto"/>
        <w:kinsoku/>
        <w:wordWrap/>
        <w:overflowPunct/>
        <w:topLinePunct w:val="0"/>
        <w:autoSpaceDE/>
        <w:autoSpaceDN/>
        <w:bidi w:val="0"/>
        <w:adjustRightInd w:val="0"/>
        <w:snapToGrid w:val="0"/>
        <w:spacing w:before="0" w:beforeAutospacing="0" w:after="0" w:afterAutospacing="0" w:line="600" w:lineRule="exact"/>
        <w:ind w:left="0" w:firstLine="640" w:firstLineChars="200"/>
        <w:textAlignment w:val="auto"/>
        <w:rPr>
          <w:rFonts w:hint="eastAsia" w:ascii="方正楷体_GBK" w:hAnsi="方正楷体_GBK" w:eastAsia="方正楷体_GBK" w:cs="方正楷体_GBK"/>
          <w:b w:val="0"/>
          <w:bCs/>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（一）职能职责</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1.巫溪工业园区管理委员会受巫溪县人民政府委托履行园区管理和服务职能。</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2.按规定管理监督园区内国有企业、事业单位、入园企业有关事项；协调处理园区内各企业的涉外事务；协调处理园区内各企业之间，企业同各级政府、各有关部门的关系。</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3.配合拟订园区所在乡镇总体规划、控制性详规、城市设计及专项规划；负责园区建设规划和建设项目选址定点；负责统一规划、监督、管理园区内基础设施和公共设施建设。</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负责编制和实施园区产业发展规划和年度建设计划；负责园区招商引资和企业服务工作，拟订园区招商引资优惠政策以及各项具体管理办法、服务工作规定等，经县委、县政府批准后组织实施；负责初审入驻企业建设方案。</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拟订园区用地计划，协助相关部门和乡镇（街道）做好园区内土地征收、房屋拆迁等工作，协调园区土地使用权的出让、资产出租等工作；组织园区内已征收土地的整治工作；配合相关部门做好园区内的移民安置。</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6.负责园区国民经济综合统计、专项统计工作，编制并组织实施园区经济运行调控目标和工作考评。</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7.监管协调园区内企业及有关部门设在园区的派驻机构的工作。</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8.组织监管园区建设资金的筹集、使用和偿还。</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9.负责园区内社会治安、环境保护、社会保障、消防、安全生产监督管理等工作，做好园区内教育、文化、卫生健康等社会事务工作。</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10.协助有关部门管理园区内国有资产工作。</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11.为园区内企业提供融资咨询服务，协调银企关系，搭建融资平台，协调开展融资担保和贷后监督管理工作；引导建立中小企业融资体系。</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12.完成县委、县政府交办的其他任务。</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方正楷体_GBK" w:hAnsi="方正楷体_GBK" w:eastAsia="方正楷体_GBK" w:cs="方正楷体_GBK"/>
          <w:b w:val="0"/>
          <w:bCs/>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（二）机构设置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eastAsia="zh-CN"/>
        </w:rPr>
        <w:t>本单位</w:t>
      </w:r>
      <w:r>
        <w:rPr>
          <w:rFonts w:hint="eastAsia" w:ascii="Times New Roman" w:hAnsi="Times New Roman" w:eastAsia="方正仿宋_GBK" w:cs="Times New Roman"/>
          <w:b w:val="0"/>
          <w:bCs w:val="0"/>
          <w:sz w:val="32"/>
          <w:szCs w:val="32"/>
          <w:lang w:val="en-US" w:eastAsia="zh-CN"/>
        </w:rPr>
        <w:t>内</w:t>
      </w:r>
      <w:r>
        <w:rPr>
          <w:rFonts w:hint="eastAsia" w:ascii="Times New Roman" w:hAnsi="Times New Roman" w:eastAsia="方正仿宋_GBK" w:cs="Times New Roman"/>
          <w:b w:val="0"/>
          <w:bCs w:val="0"/>
          <w:sz w:val="32"/>
          <w:szCs w:val="32"/>
          <w:lang w:eastAsia="zh-CN"/>
        </w:rPr>
        <w:t>设</w:t>
      </w:r>
      <w:r>
        <w:rPr>
          <w:rFonts w:hint="default" w:ascii="Times New Roman" w:hAnsi="Times New Roman" w:eastAsia="方正仿宋_GBK" w:cs="Times New Roman"/>
          <w:b w:val="0"/>
          <w:bCs w:val="0"/>
          <w:sz w:val="32"/>
          <w:szCs w:val="32"/>
        </w:rPr>
        <w:t>综合科</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规划招商科</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安全环保科</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工业园区企业服务中心</w:t>
      </w:r>
      <w:r>
        <w:rPr>
          <w:rFonts w:hint="eastAsia" w:ascii="Times New Roman" w:hAnsi="Times New Roman" w:eastAsia="方正仿宋_GBK" w:cs="Times New Roman"/>
          <w:b w:val="0"/>
          <w:bCs w:val="0"/>
          <w:sz w:val="32"/>
          <w:szCs w:val="32"/>
          <w:lang w:eastAsia="zh-CN"/>
        </w:rPr>
        <w:t>。</w:t>
      </w:r>
    </w:p>
    <w:p>
      <w:pPr>
        <w:pStyle w:val="6"/>
        <w:keepNext w:val="0"/>
        <w:keepLines w:val="0"/>
        <w:pageBreakBefore w:val="0"/>
        <w:shd w:val="clear" w:color="auto"/>
        <w:kinsoku/>
        <w:wordWrap/>
        <w:overflowPunct/>
        <w:topLinePunct w:val="0"/>
        <w:autoSpaceDN/>
        <w:bidi w:val="0"/>
        <w:adjustRightInd w:val="0"/>
        <w:snapToGrid w:val="0"/>
        <w:spacing w:before="0" w:beforeAutospacing="0" w:after="0" w:afterAutospacing="0" w:line="600" w:lineRule="exact"/>
        <w:ind w:left="0" w:firstLine="640" w:firstLineChars="200"/>
        <w:textAlignment w:val="auto"/>
        <w:rPr>
          <w:rStyle w:val="10"/>
          <w:rFonts w:hint="eastAsia" w:ascii="方正黑体_GBK" w:hAnsi="方正黑体_GBK" w:eastAsia="方正黑体_GBK" w:cs="方正黑体_GBK"/>
          <w:b w:val="0"/>
          <w:bCs/>
          <w:sz w:val="32"/>
          <w:szCs w:val="32"/>
          <w:highlight w:val="none"/>
          <w:shd w:val="clear" w:color="auto" w:fill="FFFFFF"/>
        </w:rPr>
      </w:pPr>
      <w:r>
        <w:rPr>
          <w:rStyle w:val="10"/>
          <w:rFonts w:hint="eastAsia" w:ascii="方正黑体_GBK" w:hAnsi="方正黑体_GBK" w:eastAsia="方正黑体_GBK" w:cs="方正黑体_GBK"/>
          <w:b w:val="0"/>
          <w:bCs/>
          <w:sz w:val="32"/>
          <w:szCs w:val="32"/>
          <w:highlight w:val="none"/>
          <w:shd w:val="clear" w:color="auto" w:fill="FFFFFF"/>
        </w:rPr>
        <w:t>二、</w:t>
      </w:r>
      <w:r>
        <w:rPr>
          <w:rStyle w:val="10"/>
          <w:rFonts w:hint="eastAsia" w:ascii="方正黑体_GBK" w:hAnsi="方正黑体_GBK" w:eastAsia="方正黑体_GBK" w:cs="方正黑体_GBK"/>
          <w:b w:val="0"/>
          <w:bCs/>
          <w:sz w:val="32"/>
          <w:szCs w:val="32"/>
          <w:highlight w:val="none"/>
          <w:shd w:val="clear" w:color="auto" w:fill="FFFFFF"/>
          <w:lang w:eastAsia="zh-CN"/>
        </w:rPr>
        <w:t>部门</w:t>
      </w:r>
      <w:r>
        <w:rPr>
          <w:rStyle w:val="10"/>
          <w:rFonts w:hint="eastAsia" w:ascii="方正黑体_GBK" w:hAnsi="方正黑体_GBK" w:eastAsia="方正黑体_GBK" w:cs="方正黑体_GBK"/>
          <w:b w:val="0"/>
          <w:bCs/>
          <w:sz w:val="32"/>
          <w:szCs w:val="32"/>
          <w:highlight w:val="none"/>
          <w:shd w:val="clear" w:color="auto" w:fill="FFFFFF"/>
        </w:rPr>
        <w:t>决算情况说明</w:t>
      </w:r>
    </w:p>
    <w:p>
      <w:pPr>
        <w:pStyle w:val="11"/>
        <w:keepNext w:val="0"/>
        <w:keepLines w:val="0"/>
        <w:pageBreakBefore w:val="0"/>
        <w:shd w:val="clear"/>
        <w:kinsoku/>
        <w:wordWrap/>
        <w:overflowPunct/>
        <w:topLinePunct w:val="0"/>
        <w:autoSpaceDE w:val="0"/>
        <w:autoSpaceDN/>
        <w:bidi w:val="0"/>
        <w:adjustRightInd w:val="0"/>
        <w:snapToGrid w:val="0"/>
        <w:spacing w:beforeAutospacing="0" w:afterAutospacing="0" w:line="600" w:lineRule="exact"/>
        <w:ind w:left="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（一）收入支出决算总体情况说明。</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600" w:lineRule="exact"/>
        <w:ind w:left="0" w:firstLine="643" w:firstLineChars="200"/>
        <w:textAlignment w:val="auto"/>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1.总体情况。</w:t>
      </w:r>
      <w:r>
        <w:rPr>
          <w:rFonts w:ascii="方正仿宋_GBK" w:hAnsi="方正仿宋_GBK" w:eastAsia="方正仿宋_GBK" w:cs="方正仿宋_GBK"/>
          <w:sz w:val="32"/>
          <w:szCs w:val="32"/>
          <w:highlight w:val="none"/>
          <w:shd w:val="clear" w:color="auto" w:fill="FFFFFF"/>
        </w:rPr>
        <w:t>2023年度收入总计370.08万元，支出总计</w:t>
      </w:r>
      <w:r>
        <w:rPr>
          <w:rFonts w:ascii="方正仿宋_GBK" w:hAnsi="方正仿宋_GBK" w:eastAsia="方正仿宋_GBK" w:cs="方正仿宋_GBK"/>
          <w:sz w:val="32"/>
          <w:szCs w:val="32"/>
          <w:highlight w:val="none"/>
        </w:rPr>
        <w:t>370.08</w:t>
      </w:r>
      <w:r>
        <w:rPr>
          <w:rFonts w:ascii="方正仿宋_GBK" w:hAnsi="方正仿宋_GBK" w:eastAsia="方正仿宋_GBK" w:cs="方正仿宋_GBK"/>
          <w:sz w:val="32"/>
          <w:szCs w:val="32"/>
          <w:highlight w:val="none"/>
          <w:shd w:val="clear" w:color="auto" w:fill="FFFFFF"/>
        </w:rPr>
        <w:t>万元。收支较上年决算数增加59.17万元，增长19.03%，主要原因是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1.本年度新增工作人员2名，2.职工工资及社保基数调高。</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3" w:firstLineChars="200"/>
        <w:jc w:val="both"/>
        <w:textAlignment w:val="auto"/>
        <w:rPr>
          <w:rFonts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2.收入情况。</w:t>
      </w:r>
      <w:r>
        <w:rPr>
          <w:rFonts w:ascii="方正仿宋_GBK" w:hAnsi="方正仿宋_GBK" w:eastAsia="方正仿宋_GBK" w:cs="方正仿宋_GBK"/>
          <w:sz w:val="32"/>
          <w:szCs w:val="32"/>
          <w:highlight w:val="none"/>
          <w:shd w:val="clear" w:color="auto" w:fill="FFFFFF"/>
        </w:rPr>
        <w:t>2023年度收入合计370.08万元，较上年决算</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jc w:val="both"/>
        <w:textAlignment w:val="auto"/>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数增加59.17万元，增长19.03%，主要原因是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1.本年度新增工作人员2名，2.职工工资及社保基数调高。</w:t>
      </w:r>
      <w:r>
        <w:rPr>
          <w:rFonts w:ascii="方正仿宋_GBK" w:hAnsi="方正仿宋_GBK" w:eastAsia="方正仿宋_GBK" w:cs="方正仿宋_GBK"/>
          <w:sz w:val="32"/>
          <w:szCs w:val="32"/>
          <w:highlight w:val="none"/>
          <w:shd w:val="clear" w:color="auto" w:fill="FFFFFF"/>
        </w:rPr>
        <w:t>其中：财政拨款收入</w:t>
      </w:r>
      <w:r>
        <w:rPr>
          <w:rFonts w:ascii="方正仿宋_GBK" w:hAnsi="方正仿宋_GBK" w:eastAsia="方正仿宋_GBK" w:cs="方正仿宋_GBK"/>
          <w:sz w:val="32"/>
          <w:szCs w:val="32"/>
          <w:highlight w:val="none"/>
        </w:rPr>
        <w:t>370.08</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100.00</w:t>
      </w:r>
      <w:r>
        <w:rPr>
          <w:rFonts w:ascii="方正仿宋_GBK" w:hAnsi="方正仿宋_GBK" w:eastAsia="方正仿宋_GBK" w:cs="方正仿宋_GBK"/>
          <w:sz w:val="32"/>
          <w:szCs w:val="32"/>
          <w:highlight w:val="none"/>
          <w:shd w:val="clear" w:color="auto" w:fill="FFFFFF"/>
        </w:rPr>
        <w:t>%。此外，使用非财政拨款结余和专用结余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万元，年初结转和结余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3.支出情况。</w:t>
      </w:r>
      <w:r>
        <w:rPr>
          <w:rFonts w:ascii="方正仿宋_GBK" w:hAnsi="方正仿宋_GBK" w:eastAsia="方正仿宋_GBK" w:cs="方正仿宋_GBK"/>
          <w:sz w:val="32"/>
          <w:szCs w:val="32"/>
          <w:highlight w:val="none"/>
          <w:shd w:val="clear" w:color="auto" w:fill="FFFFFF"/>
        </w:rPr>
        <w:t>2023年度支出合计</w:t>
      </w:r>
      <w:r>
        <w:rPr>
          <w:rFonts w:ascii="方正仿宋_GBK" w:hAnsi="方正仿宋_GBK" w:eastAsia="方正仿宋_GBK" w:cs="方正仿宋_GBK"/>
          <w:sz w:val="32"/>
          <w:szCs w:val="32"/>
          <w:highlight w:val="none"/>
        </w:rPr>
        <w:t>370.08</w:t>
      </w:r>
      <w:r>
        <w:rPr>
          <w:rFonts w:ascii="方正仿宋_GBK" w:hAnsi="方正仿宋_GBK" w:eastAsia="方正仿宋_GBK" w:cs="方正仿宋_GBK"/>
          <w:sz w:val="32"/>
          <w:szCs w:val="32"/>
          <w:highlight w:val="none"/>
          <w:shd w:val="clear" w:color="auto" w:fill="FFFFFF"/>
        </w:rPr>
        <w:t>万元，较上年决算数增加59.17万元，增长19.03%，主要原因是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1.本年度新增工作人员2名，2.职工工资及社保基数调高。</w:t>
      </w:r>
      <w:r>
        <w:rPr>
          <w:rFonts w:ascii="方正仿宋_GBK" w:hAnsi="方正仿宋_GBK" w:eastAsia="方正仿宋_GBK" w:cs="方正仿宋_GBK"/>
          <w:sz w:val="32"/>
          <w:szCs w:val="32"/>
          <w:highlight w:val="none"/>
          <w:shd w:val="clear" w:color="auto" w:fill="FFFFFF"/>
        </w:rPr>
        <w:t>其中：基本支出</w:t>
      </w:r>
      <w:r>
        <w:rPr>
          <w:rFonts w:ascii="方正仿宋_GBK" w:hAnsi="方正仿宋_GBK" w:eastAsia="方正仿宋_GBK" w:cs="方正仿宋_GBK"/>
          <w:sz w:val="32"/>
          <w:szCs w:val="32"/>
          <w:highlight w:val="none"/>
        </w:rPr>
        <w:t>351.08</w:t>
      </w:r>
      <w:r>
        <w:rPr>
          <w:rFonts w:ascii="方正仿宋_GBK" w:hAnsi="方正仿宋_GBK" w:eastAsia="方正仿宋_GBK" w:cs="方正仿宋_GBK"/>
          <w:sz w:val="32"/>
          <w:szCs w:val="32"/>
          <w:highlight w:val="none"/>
          <w:shd w:val="clear" w:color="auto" w:fill="FFFFFF"/>
        </w:rPr>
        <w:t>万元，占94.87%；项目支出</w:t>
      </w:r>
      <w:r>
        <w:rPr>
          <w:rFonts w:ascii="方正仿宋_GBK" w:hAnsi="方正仿宋_GBK" w:eastAsia="方正仿宋_GBK" w:cs="方正仿宋_GBK"/>
          <w:sz w:val="32"/>
          <w:szCs w:val="32"/>
          <w:highlight w:val="none"/>
        </w:rPr>
        <w:t>19.00</w:t>
      </w:r>
      <w:r>
        <w:rPr>
          <w:rFonts w:ascii="方正仿宋_GBK" w:hAnsi="方正仿宋_GBK" w:eastAsia="方正仿宋_GBK" w:cs="方正仿宋_GBK"/>
          <w:sz w:val="32"/>
          <w:szCs w:val="32"/>
          <w:highlight w:val="none"/>
          <w:shd w:val="clear" w:color="auto" w:fill="FFFFFF"/>
        </w:rPr>
        <w:t>万元，占5.13%。</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highlight w:val="none"/>
          <w:lang w:eastAsia="zh-CN"/>
        </w:rPr>
      </w:pPr>
      <w:r>
        <w:rPr>
          <w:rStyle w:val="10"/>
          <w:rFonts w:ascii="方正仿宋_GBK" w:hAnsi="方正仿宋_GBK" w:eastAsia="方正仿宋_GBK" w:cs="方正仿宋_GBK"/>
          <w:sz w:val="32"/>
          <w:szCs w:val="32"/>
          <w:highlight w:val="none"/>
          <w:shd w:val="clear" w:color="auto" w:fill="FFFFFF"/>
        </w:rPr>
        <w:t>4.结转结余情况。</w:t>
      </w:r>
      <w:r>
        <w:rPr>
          <w:rFonts w:ascii="方正仿宋_GBK" w:hAnsi="方正仿宋_GBK" w:eastAsia="方正仿宋_GBK" w:cs="方正仿宋_GBK"/>
          <w:sz w:val="32"/>
          <w:szCs w:val="32"/>
          <w:highlight w:val="none"/>
          <w:shd w:val="clear" w:color="auto" w:fill="FFFFFF"/>
        </w:rPr>
        <w:t>2023年度</w:t>
      </w:r>
      <w:r>
        <w:rPr>
          <w:rFonts w:hint="eastAsia" w:ascii="方正仿宋_GBK" w:hAnsi="方正仿宋_GBK" w:eastAsia="方正仿宋_GBK" w:cs="方正仿宋_GBK"/>
          <w:sz w:val="32"/>
          <w:szCs w:val="32"/>
          <w:highlight w:val="none"/>
          <w:shd w:val="clear" w:color="auto" w:fill="FFFFFF"/>
          <w:lang w:val="en-US" w:eastAsia="zh-CN"/>
        </w:rPr>
        <w:t>无</w:t>
      </w:r>
      <w:r>
        <w:rPr>
          <w:rFonts w:ascii="方正仿宋_GBK" w:hAnsi="方正仿宋_GBK" w:eastAsia="方正仿宋_GBK" w:cs="方正仿宋_GBK"/>
          <w:sz w:val="32"/>
          <w:szCs w:val="32"/>
          <w:highlight w:val="none"/>
          <w:shd w:val="clear" w:color="auto" w:fill="FFFFFF"/>
        </w:rPr>
        <w:t>年末结转和结余，较上年决算数无增减</w:t>
      </w:r>
      <w:r>
        <w:rPr>
          <w:rFonts w:hint="eastAsia" w:ascii="方正仿宋_GBK" w:hAnsi="方正仿宋_GBK" w:eastAsia="方正仿宋_GBK" w:cs="方正仿宋_GBK"/>
          <w:sz w:val="32"/>
          <w:szCs w:val="32"/>
          <w:highlight w:val="none"/>
          <w:shd w:val="clear" w:color="auto" w:fill="FFFFFF"/>
          <w:lang w:eastAsia="zh-CN"/>
        </w:rPr>
        <w:t>。</w:t>
      </w:r>
    </w:p>
    <w:p>
      <w:pPr>
        <w:pStyle w:val="11"/>
        <w:keepNext w:val="0"/>
        <w:keepLines w:val="0"/>
        <w:pageBreakBefore w:val="0"/>
        <w:shd w:val="clear"/>
        <w:kinsoku/>
        <w:wordWrap/>
        <w:overflowPunct/>
        <w:topLinePunct w:val="0"/>
        <w:autoSpaceDE w:val="0"/>
        <w:autoSpaceDN/>
        <w:bidi w:val="0"/>
        <w:adjustRightInd w:val="0"/>
        <w:snapToGrid w:val="0"/>
        <w:spacing w:beforeAutospacing="0" w:afterAutospacing="0" w:line="600" w:lineRule="exact"/>
        <w:ind w:left="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（二）财政拨款收入支出决算总体情况说明</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2023年度财政拨款收、支总计370.08万元。与2022年相比，财政拨款收、支总计各增加59.17万元，增长19.03%。主要原因是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1.本年度新增工作人员2名，2.职工工资及社保基数调高。</w:t>
      </w:r>
    </w:p>
    <w:p>
      <w:pPr>
        <w:pStyle w:val="11"/>
        <w:keepNext w:val="0"/>
        <w:keepLines w:val="0"/>
        <w:pageBreakBefore w:val="0"/>
        <w:shd w:val="clear"/>
        <w:kinsoku/>
        <w:wordWrap/>
        <w:overflowPunct/>
        <w:topLinePunct w:val="0"/>
        <w:autoSpaceDE w:val="0"/>
        <w:autoSpaceDN/>
        <w:bidi w:val="0"/>
        <w:adjustRightInd w:val="0"/>
        <w:snapToGrid w:val="0"/>
        <w:spacing w:beforeAutospacing="0" w:afterAutospacing="0" w:line="600" w:lineRule="exact"/>
        <w:ind w:left="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（三）一般公共预算财政拨款收入支出决算情况说明</w:t>
      </w:r>
    </w:p>
    <w:p>
      <w:pPr>
        <w:pStyle w:val="6"/>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1.收入情况。</w:t>
      </w:r>
      <w:r>
        <w:rPr>
          <w:rFonts w:ascii="方正仿宋_GBK" w:hAnsi="方正仿宋_GBK" w:eastAsia="方正仿宋_GBK" w:cs="方正仿宋_GBK"/>
          <w:sz w:val="32"/>
          <w:szCs w:val="32"/>
          <w:highlight w:val="none"/>
          <w:shd w:val="clear" w:color="auto" w:fill="FFFFFF"/>
        </w:rPr>
        <w:t>2023年度一般公共预算财政拨款收入</w:t>
      </w:r>
      <w:r>
        <w:rPr>
          <w:rFonts w:ascii="方正仿宋_GBK" w:hAnsi="方正仿宋_GBK" w:eastAsia="方正仿宋_GBK" w:cs="方正仿宋_GBK"/>
          <w:sz w:val="32"/>
          <w:szCs w:val="32"/>
          <w:highlight w:val="none"/>
        </w:rPr>
        <w:t>370.08</w:t>
      </w:r>
      <w:r>
        <w:rPr>
          <w:rFonts w:ascii="方正仿宋_GBK" w:hAnsi="方正仿宋_GBK" w:eastAsia="方正仿宋_GBK" w:cs="方正仿宋_GBK"/>
          <w:sz w:val="32"/>
          <w:szCs w:val="32"/>
          <w:highlight w:val="none"/>
          <w:shd w:val="clear" w:color="auto" w:fill="FFFFFF"/>
        </w:rPr>
        <w:t>万元，较上年决算数增加59.17万元，增长19.03%。主要原因是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1.本年度新增工作人员2名，2.职工工资及社保基数调高。</w:t>
      </w:r>
      <w:r>
        <w:rPr>
          <w:rFonts w:ascii="方正仿宋_GBK" w:hAnsi="方正仿宋_GBK" w:eastAsia="方正仿宋_GBK" w:cs="方正仿宋_GBK"/>
          <w:sz w:val="32"/>
          <w:szCs w:val="32"/>
          <w:highlight w:val="none"/>
          <w:shd w:val="clear" w:color="auto" w:fill="FFFFFF"/>
        </w:rPr>
        <w:t>较年初预算数增加33.64万元，增长10.00%。主要原因是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1.本年度新增工作人员2名，2.职工工资及社保基数调高。</w:t>
      </w:r>
      <w:r>
        <w:rPr>
          <w:rFonts w:ascii="方正仿宋_GBK" w:hAnsi="方正仿宋_GBK" w:eastAsia="方正仿宋_GBK" w:cs="方正仿宋_GBK"/>
          <w:sz w:val="32"/>
          <w:szCs w:val="32"/>
          <w:highlight w:val="none"/>
          <w:shd w:val="clear" w:color="auto" w:fill="FFFFFF"/>
        </w:rPr>
        <w:t>此外，年初财政拨款结转和结余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3" w:firstLineChars="200"/>
        <w:jc w:val="both"/>
        <w:textAlignment w:val="auto"/>
        <w:rPr>
          <w:rFonts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2.支出情况。</w:t>
      </w:r>
      <w:r>
        <w:rPr>
          <w:rFonts w:ascii="方正仿宋_GBK" w:hAnsi="方正仿宋_GBK" w:eastAsia="方正仿宋_GBK" w:cs="方正仿宋_GBK"/>
          <w:sz w:val="32"/>
          <w:szCs w:val="32"/>
          <w:highlight w:val="none"/>
          <w:shd w:val="clear" w:color="auto" w:fill="FFFFFF"/>
        </w:rPr>
        <w:t>2023年度一般公共预算财政拨款支出</w:t>
      </w:r>
      <w:r>
        <w:rPr>
          <w:rFonts w:ascii="方正仿宋_GBK" w:hAnsi="方正仿宋_GBK" w:eastAsia="方正仿宋_GBK" w:cs="方正仿宋_GBK"/>
          <w:sz w:val="32"/>
          <w:szCs w:val="32"/>
          <w:highlight w:val="none"/>
        </w:rPr>
        <w:t>370.08</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万元，较上年决算数增加59.17万元，增长19.03%。主要原因是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1.本年度新增工作人员2名，2.职工工资及社保基数调高。</w:t>
      </w:r>
      <w:r>
        <w:rPr>
          <w:rFonts w:ascii="方正仿宋_GBK" w:hAnsi="方正仿宋_GBK" w:eastAsia="方正仿宋_GBK" w:cs="方正仿宋_GBK"/>
          <w:sz w:val="32"/>
          <w:szCs w:val="32"/>
          <w:highlight w:val="none"/>
          <w:shd w:val="clear" w:color="auto" w:fill="FFFFFF"/>
        </w:rPr>
        <w:t>较年初预算数增加33.64万元，增长10.00%。主要原因是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1.本年度新增工作人员2名，2.职工工资及社保基数调高。</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highlight w:val="none"/>
          <w:lang w:eastAsia="zh-CN"/>
        </w:rPr>
      </w:pPr>
      <w:r>
        <w:rPr>
          <w:rStyle w:val="10"/>
          <w:rFonts w:ascii="方正仿宋_GBK" w:hAnsi="方正仿宋_GBK" w:eastAsia="方正仿宋_GBK" w:cs="方正仿宋_GBK"/>
          <w:sz w:val="32"/>
          <w:szCs w:val="32"/>
          <w:highlight w:val="none"/>
          <w:shd w:val="clear" w:color="auto" w:fill="FFFFFF"/>
        </w:rPr>
        <w:t>3.结转结余情况。</w:t>
      </w:r>
      <w:r>
        <w:rPr>
          <w:rFonts w:ascii="方正仿宋_GBK" w:hAnsi="方正仿宋_GBK" w:eastAsia="方正仿宋_GBK" w:cs="方正仿宋_GBK"/>
          <w:sz w:val="32"/>
          <w:szCs w:val="32"/>
          <w:highlight w:val="none"/>
          <w:shd w:val="clear" w:color="auto" w:fill="FFFFFF"/>
        </w:rPr>
        <w:t>2023年度</w:t>
      </w:r>
      <w:r>
        <w:rPr>
          <w:rFonts w:hint="eastAsia" w:ascii="方正仿宋_GBK" w:hAnsi="方正仿宋_GBK" w:eastAsia="方正仿宋_GBK" w:cs="方正仿宋_GBK"/>
          <w:sz w:val="32"/>
          <w:szCs w:val="32"/>
          <w:highlight w:val="none"/>
          <w:shd w:val="clear" w:color="auto" w:fill="FFFFFF"/>
          <w:lang w:val="en-US" w:eastAsia="zh-CN"/>
        </w:rPr>
        <w:t>无</w:t>
      </w:r>
      <w:r>
        <w:rPr>
          <w:rFonts w:ascii="方正仿宋_GBK" w:hAnsi="方正仿宋_GBK" w:eastAsia="方正仿宋_GBK" w:cs="方正仿宋_GBK"/>
          <w:sz w:val="32"/>
          <w:szCs w:val="32"/>
          <w:highlight w:val="none"/>
          <w:shd w:val="clear" w:color="auto" w:fill="FFFFFF"/>
        </w:rPr>
        <w:t>年末一般公共预算财政拨款结转和结余，较上年决算数无增减</w:t>
      </w:r>
      <w:r>
        <w:rPr>
          <w:rFonts w:hint="eastAsia" w:ascii="方正仿宋_GBK" w:hAnsi="方正仿宋_GBK" w:eastAsia="方正仿宋_GBK" w:cs="方正仿宋_GBK"/>
          <w:sz w:val="32"/>
          <w:szCs w:val="32"/>
          <w:highlight w:val="none"/>
          <w:shd w:val="clear" w:color="auto" w:fill="FFFFFF"/>
          <w:lang w:eastAsia="zh-CN"/>
        </w:rPr>
        <w:t>。</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FF0000"/>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4.比较情况。</w:t>
      </w:r>
      <w:r>
        <w:rPr>
          <w:rFonts w:ascii="方正仿宋_GBK" w:hAnsi="方正仿宋_GBK" w:eastAsia="方正仿宋_GBK" w:cs="方正仿宋_GBK"/>
          <w:sz w:val="32"/>
          <w:szCs w:val="32"/>
          <w:highlight w:val="none"/>
          <w:shd w:val="clear" w:color="auto" w:fill="FFFFFF"/>
        </w:rPr>
        <w:t>本单位2023年度一般公共预算财政拨款支出主要用于以下几个方面：</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（1）一般公共服务支出</w:t>
      </w:r>
      <w:r>
        <w:rPr>
          <w:rFonts w:ascii="方正仿宋_GBK" w:hAnsi="方正仿宋_GBK" w:eastAsia="方正仿宋_GBK" w:cs="方正仿宋_GBK"/>
          <w:sz w:val="32"/>
          <w:szCs w:val="32"/>
          <w:highlight w:val="none"/>
        </w:rPr>
        <w:t>272.26</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73.57</w:t>
      </w:r>
      <w:r>
        <w:rPr>
          <w:rFonts w:ascii="方正仿宋_GBK" w:hAnsi="方正仿宋_GBK" w:eastAsia="方正仿宋_GBK" w:cs="方正仿宋_GBK"/>
          <w:sz w:val="32"/>
          <w:szCs w:val="32"/>
          <w:highlight w:val="none"/>
          <w:shd w:val="clear" w:color="auto" w:fill="FFFFFF"/>
        </w:rPr>
        <w:t>%，较年初预算数增加10.82万元，增长4.14%，主要原因是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1.本年度新增工作人员2名，2.职工工资及社保基数调高。</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（2）社会保障与就业支出</w:t>
      </w:r>
      <w:r>
        <w:rPr>
          <w:rFonts w:ascii="方正仿宋_GBK" w:hAnsi="方正仿宋_GBK" w:eastAsia="方正仿宋_GBK" w:cs="方正仿宋_GBK"/>
          <w:sz w:val="32"/>
          <w:szCs w:val="32"/>
          <w:highlight w:val="none"/>
        </w:rPr>
        <w:t>54.12</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14.62</w:t>
      </w:r>
      <w:r>
        <w:rPr>
          <w:rFonts w:ascii="方正仿宋_GBK" w:hAnsi="方正仿宋_GBK" w:eastAsia="方正仿宋_GBK" w:cs="方正仿宋_GBK"/>
          <w:sz w:val="32"/>
          <w:szCs w:val="32"/>
          <w:highlight w:val="none"/>
          <w:shd w:val="clear" w:color="auto" w:fill="FFFFFF"/>
        </w:rPr>
        <w:t>%，较年初预算数增加12.83万元，增长31.07%，主要原因是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1.本年度新增工作人员2名，2.职工工资及社保基数调高。</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3</w:t>
      </w:r>
      <w:r>
        <w:rPr>
          <w:rFonts w:ascii="方正仿宋_GBK" w:hAnsi="方正仿宋_GBK" w:eastAsia="方正仿宋_GBK" w:cs="方正仿宋_GBK"/>
          <w:sz w:val="32"/>
          <w:szCs w:val="32"/>
          <w:highlight w:val="none"/>
          <w:shd w:val="clear" w:color="auto" w:fill="FFFFFF"/>
        </w:rPr>
        <w:t>）卫生健康支出</w:t>
      </w:r>
      <w:r>
        <w:rPr>
          <w:rFonts w:ascii="方正仿宋_GBK" w:hAnsi="方正仿宋_GBK" w:eastAsia="方正仿宋_GBK" w:cs="方正仿宋_GBK"/>
          <w:sz w:val="32"/>
          <w:szCs w:val="32"/>
          <w:highlight w:val="none"/>
        </w:rPr>
        <w:t>12.52</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3.38</w:t>
      </w:r>
      <w:r>
        <w:rPr>
          <w:rFonts w:ascii="方正仿宋_GBK" w:hAnsi="方正仿宋_GBK" w:eastAsia="方正仿宋_GBK" w:cs="方正仿宋_GBK"/>
          <w:sz w:val="32"/>
          <w:szCs w:val="32"/>
          <w:highlight w:val="none"/>
          <w:shd w:val="clear" w:color="auto" w:fill="FFFFFF"/>
        </w:rPr>
        <w:t>%，较年初预算数无增减</w:t>
      </w:r>
      <w:r>
        <w:rPr>
          <w:rFonts w:hint="eastAsia" w:ascii="方正仿宋_GBK" w:hAnsi="方正仿宋_GBK" w:eastAsia="方正仿宋_GBK" w:cs="方正仿宋_GBK"/>
          <w:sz w:val="32"/>
          <w:szCs w:val="32"/>
          <w:highlight w:val="none"/>
          <w:shd w:val="clear" w:color="auto" w:fill="FFFFFF"/>
          <w:lang w:eastAsia="zh-CN"/>
        </w:rPr>
        <w:t>。</w:t>
      </w:r>
    </w:p>
    <w:p>
      <w:pPr>
        <w:pStyle w:val="6"/>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lang w:val="en-US"/>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4</w:t>
      </w:r>
      <w:r>
        <w:rPr>
          <w:rFonts w:ascii="方正仿宋_GBK" w:hAnsi="方正仿宋_GBK" w:eastAsia="方正仿宋_GBK" w:cs="方正仿宋_GBK"/>
          <w:sz w:val="32"/>
          <w:szCs w:val="32"/>
          <w:highlight w:val="none"/>
          <w:shd w:val="clear" w:color="auto" w:fill="FFFFFF"/>
        </w:rPr>
        <w:t>）节能环保支出</w:t>
      </w:r>
      <w:r>
        <w:rPr>
          <w:rFonts w:ascii="方正仿宋_GBK" w:hAnsi="方正仿宋_GBK" w:eastAsia="方正仿宋_GBK" w:cs="方正仿宋_GBK"/>
          <w:sz w:val="32"/>
          <w:szCs w:val="32"/>
          <w:highlight w:val="none"/>
        </w:rPr>
        <w:t>10.00</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2.70</w:t>
      </w:r>
      <w:r>
        <w:rPr>
          <w:rFonts w:ascii="方正仿宋_GBK" w:hAnsi="方正仿宋_GBK" w:eastAsia="方正仿宋_GBK" w:cs="方正仿宋_GBK"/>
          <w:sz w:val="32"/>
          <w:szCs w:val="32"/>
          <w:highlight w:val="none"/>
          <w:shd w:val="clear" w:color="auto" w:fill="FFFFFF"/>
        </w:rPr>
        <w:t>%，较年初预算数增加10.00万元，增长100.00%，主要原因是</w:t>
      </w:r>
      <w:r>
        <w:rPr>
          <w:rFonts w:hint="eastAsia" w:ascii="方正仿宋_GBK" w:hAnsi="方正仿宋_GBK" w:eastAsia="方正仿宋_GBK" w:cs="方正仿宋_GBK"/>
          <w:sz w:val="32"/>
          <w:szCs w:val="32"/>
          <w:highlight w:val="none"/>
          <w:shd w:val="clear" w:color="auto" w:fill="FFFFFF"/>
          <w:lang w:val="en-US" w:eastAsia="zh-CN"/>
        </w:rPr>
        <w:t>本年新增生态环境类项目一个。</w:t>
      </w:r>
    </w:p>
    <w:p>
      <w:pPr>
        <w:keepNext w:val="0"/>
        <w:keepLines w:val="0"/>
        <w:pageBreakBefore w:val="0"/>
        <w:shd w:val="clear"/>
        <w:kinsoku/>
        <w:wordWrap/>
        <w:overflowPunct/>
        <w:topLinePunct w:val="0"/>
        <w:autoSpaceDN/>
        <w:bidi w:val="0"/>
        <w:adjustRightInd w:val="0"/>
        <w:snapToGrid w:val="0"/>
        <w:spacing w:beforeAutospacing="0" w:afterAutospacing="0" w:line="600" w:lineRule="exact"/>
        <w:ind w:left="0" w:firstLine="640" w:firstLineChars="200"/>
        <w:textAlignment w:val="auto"/>
        <w:rPr>
          <w:rFonts w:hint="eastAsia" w:ascii="方正仿宋_GBK" w:hAnsi="方正仿宋_GBK" w:eastAsia="方正仿宋_GBK" w:cs="方正仿宋_GBK"/>
          <w:color w:val="FF0000"/>
          <w:sz w:val="32"/>
          <w:szCs w:val="32"/>
          <w:highlight w:val="none"/>
          <w:shd w:val="clear" w:color="auto" w:fill="FFFFFF"/>
          <w:lang w:eastAsia="zh-CN"/>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5</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rPr>
        <w:t>住房保障支出21.19</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5.73</w:t>
      </w:r>
      <w:r>
        <w:rPr>
          <w:rFonts w:ascii="方正仿宋_GBK" w:hAnsi="方正仿宋_GBK" w:eastAsia="方正仿宋_GBK" w:cs="方正仿宋_GBK"/>
          <w:sz w:val="32"/>
          <w:szCs w:val="32"/>
          <w:highlight w:val="none"/>
          <w:shd w:val="clear" w:color="auto" w:fill="FFFFFF"/>
        </w:rPr>
        <w:t>%，较年初预算数无增减</w:t>
      </w:r>
      <w:r>
        <w:rPr>
          <w:rFonts w:hint="eastAsia" w:ascii="方正仿宋_GBK" w:hAnsi="方正仿宋_GBK" w:eastAsia="方正仿宋_GBK" w:cs="方正仿宋_GBK"/>
          <w:sz w:val="32"/>
          <w:szCs w:val="32"/>
          <w:highlight w:val="none"/>
          <w:shd w:val="clear" w:color="auto" w:fill="FFFFFF"/>
          <w:lang w:eastAsia="zh-CN"/>
        </w:rPr>
        <w:t>。</w:t>
      </w:r>
    </w:p>
    <w:p>
      <w:pPr>
        <w:pStyle w:val="11"/>
        <w:keepNext w:val="0"/>
        <w:keepLines w:val="0"/>
        <w:pageBreakBefore w:val="0"/>
        <w:shd w:val="clear"/>
        <w:kinsoku/>
        <w:wordWrap/>
        <w:overflowPunct/>
        <w:topLinePunct w:val="0"/>
        <w:autoSpaceDE w:val="0"/>
        <w:autoSpaceDN/>
        <w:bidi w:val="0"/>
        <w:adjustRightInd w:val="0"/>
        <w:snapToGrid w:val="0"/>
        <w:spacing w:beforeAutospacing="0" w:afterAutospacing="0" w:line="600" w:lineRule="exact"/>
        <w:ind w:left="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（四）一般公共预算财政拨款基本支出决算情况说明</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2023年度一般公共财政拨款基本支出</w:t>
      </w:r>
      <w:r>
        <w:rPr>
          <w:rFonts w:ascii="方正仿宋_GBK" w:hAnsi="方正仿宋_GBK" w:eastAsia="方正仿宋_GBK" w:cs="方正仿宋_GBK"/>
          <w:sz w:val="32"/>
          <w:szCs w:val="32"/>
          <w:highlight w:val="none"/>
        </w:rPr>
        <w:t>351.08</w:t>
      </w:r>
      <w:r>
        <w:rPr>
          <w:rFonts w:ascii="方正仿宋_GBK" w:hAnsi="方正仿宋_GBK" w:eastAsia="方正仿宋_GBK" w:cs="方正仿宋_GBK"/>
          <w:sz w:val="32"/>
          <w:szCs w:val="32"/>
          <w:highlight w:val="none"/>
          <w:shd w:val="clear" w:color="auto" w:fill="FFFFFF"/>
        </w:rPr>
        <w:t>万元。其中：人员经费</w:t>
      </w:r>
      <w:r>
        <w:rPr>
          <w:rFonts w:ascii="方正仿宋_GBK" w:hAnsi="方正仿宋_GBK" w:eastAsia="方正仿宋_GBK" w:cs="方正仿宋_GBK"/>
          <w:sz w:val="32"/>
          <w:szCs w:val="32"/>
          <w:highlight w:val="none"/>
        </w:rPr>
        <w:t>304.90</w:t>
      </w:r>
      <w:r>
        <w:rPr>
          <w:rFonts w:ascii="方正仿宋_GBK" w:hAnsi="方正仿宋_GBK" w:eastAsia="方正仿宋_GBK" w:cs="方正仿宋_GBK"/>
          <w:sz w:val="32"/>
          <w:szCs w:val="32"/>
          <w:highlight w:val="none"/>
          <w:shd w:val="clear" w:color="auto" w:fill="FFFFFF"/>
        </w:rPr>
        <w:t>万元，较上年决算数增加62.66万元，增长25.87%，主要原因是</w:t>
      </w:r>
      <w:r>
        <w:rPr>
          <w:rFonts w:hint="default" w:ascii="Times New Roman" w:hAnsi="Times New Roman" w:eastAsia="方正仿宋_GBK" w:cs="Times New Roman"/>
          <w:sz w:val="32"/>
          <w:szCs w:val="32"/>
        </w:rPr>
        <w:t>主要原因是增加人员支出费用</w:t>
      </w:r>
      <w:r>
        <w:rPr>
          <w:rFonts w:hint="eastAsia"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highlight w:val="none"/>
          <w:shd w:val="clear" w:color="auto" w:fill="FFFFFF"/>
        </w:rPr>
        <w:t>人员经费用途主要包括</w:t>
      </w:r>
      <w:r>
        <w:rPr>
          <w:rFonts w:hint="eastAsia" w:ascii="方正仿宋_GBK" w:hAnsi="方正仿宋_GBK" w:eastAsia="方正仿宋_GBK" w:cs="方正仿宋_GBK"/>
          <w:sz w:val="32"/>
          <w:szCs w:val="32"/>
          <w:highlight w:val="none"/>
          <w:shd w:val="clear" w:color="auto" w:fill="FFFFFF"/>
        </w:rPr>
        <w:t>人员经费用途主要包括基本工资、津贴补贴、奖金、绩效工资、社会保障缴费等。</w:t>
      </w:r>
      <w:r>
        <w:rPr>
          <w:rFonts w:ascii="方正仿宋_GBK" w:hAnsi="方正仿宋_GBK" w:eastAsia="方正仿宋_GBK" w:cs="方正仿宋_GBK"/>
          <w:sz w:val="32"/>
          <w:szCs w:val="32"/>
          <w:highlight w:val="none"/>
          <w:shd w:val="clear" w:color="auto" w:fill="FFFFFF"/>
        </w:rPr>
        <w:t>公用经费</w:t>
      </w:r>
      <w:r>
        <w:rPr>
          <w:rFonts w:ascii="方正仿宋_GBK" w:hAnsi="方正仿宋_GBK" w:eastAsia="方正仿宋_GBK" w:cs="方正仿宋_GBK"/>
          <w:sz w:val="32"/>
          <w:szCs w:val="32"/>
          <w:highlight w:val="none"/>
        </w:rPr>
        <w:t>46.18</w:t>
      </w:r>
      <w:r>
        <w:rPr>
          <w:rFonts w:ascii="方正仿宋_GBK" w:hAnsi="方正仿宋_GBK" w:eastAsia="方正仿宋_GBK" w:cs="方正仿宋_GBK"/>
          <w:sz w:val="32"/>
          <w:szCs w:val="32"/>
          <w:highlight w:val="none"/>
          <w:shd w:val="clear" w:color="auto" w:fill="FFFFFF"/>
        </w:rPr>
        <w:t>万元，较上年决算数减少3.29万元，下降6.65%，主要原因是</w:t>
      </w:r>
      <w:r>
        <w:rPr>
          <w:rFonts w:hint="eastAsia" w:ascii="方正仿宋_GBK" w:hAnsi="方正仿宋_GBK" w:eastAsia="方正仿宋_GBK" w:cs="方正仿宋_GBK"/>
          <w:sz w:val="32"/>
          <w:szCs w:val="32"/>
          <w:highlight w:val="none"/>
          <w:shd w:val="clear" w:color="auto" w:fill="FFFFFF"/>
          <w:lang w:val="en-US" w:eastAsia="zh-CN"/>
        </w:rPr>
        <w:t>节约开支。</w:t>
      </w:r>
      <w:r>
        <w:rPr>
          <w:rFonts w:ascii="方正仿宋_GBK" w:hAnsi="方正仿宋_GBK" w:eastAsia="方正仿宋_GBK" w:cs="方正仿宋_GBK"/>
          <w:sz w:val="32"/>
          <w:szCs w:val="32"/>
          <w:highlight w:val="none"/>
          <w:shd w:val="clear" w:color="auto" w:fill="FFFFFF"/>
        </w:rPr>
        <w:t>公用经费用途主要包括</w:t>
      </w:r>
      <w:r>
        <w:rPr>
          <w:rFonts w:hint="default" w:ascii="Times New Roman" w:hAnsi="Times New Roman" w:eastAsia="方正仿宋_GBK" w:cs="Times New Roman"/>
          <w:sz w:val="32"/>
          <w:szCs w:val="32"/>
        </w:rPr>
        <w:t>办公费、水电费、差旅费、公务用车运行维护费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房租</w:t>
      </w:r>
      <w:r>
        <w:rPr>
          <w:rFonts w:hint="default" w:ascii="Times New Roman" w:hAnsi="Times New Roman" w:eastAsia="方正仿宋_GBK" w:cs="Times New Roman"/>
          <w:sz w:val="32"/>
          <w:szCs w:val="32"/>
        </w:rPr>
        <w:t>等因公产生的支出。</w:t>
      </w:r>
    </w:p>
    <w:p>
      <w:pPr>
        <w:pStyle w:val="11"/>
        <w:keepNext w:val="0"/>
        <w:keepLines w:val="0"/>
        <w:pageBreakBefore w:val="0"/>
        <w:shd w:val="clear"/>
        <w:kinsoku/>
        <w:wordWrap/>
        <w:overflowPunct/>
        <w:topLinePunct w:val="0"/>
        <w:autoSpaceDE w:val="0"/>
        <w:autoSpaceDN/>
        <w:bidi w:val="0"/>
        <w:adjustRightInd w:val="0"/>
        <w:snapToGrid w:val="0"/>
        <w:spacing w:beforeAutospacing="0" w:afterAutospacing="0" w:line="600" w:lineRule="exact"/>
        <w:ind w:left="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（五）政府性基金预算收支决算情况说明</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sz w:val="32"/>
          <w:szCs w:val="32"/>
          <w:highlight w:val="none"/>
          <w:shd w:val="clear" w:color="auto" w:fill="auto"/>
        </w:rPr>
      </w:pPr>
      <w:r>
        <w:rPr>
          <w:rStyle w:val="10"/>
          <w:rFonts w:ascii="方正仿宋_GBK" w:hAnsi="方正仿宋_GBK" w:eastAsia="方正仿宋_GBK" w:cs="方正仿宋_GBK"/>
          <w:sz w:val="32"/>
          <w:szCs w:val="32"/>
          <w:highlight w:val="none"/>
          <w:shd w:val="clear" w:color="auto" w:fill="auto"/>
        </w:rPr>
        <w:t>本单位2023年度无政府性基金预算财政拨款收支。</w:t>
      </w:r>
    </w:p>
    <w:p>
      <w:pPr>
        <w:pStyle w:val="11"/>
        <w:keepNext w:val="0"/>
        <w:keepLines w:val="0"/>
        <w:pageBreakBefore w:val="0"/>
        <w:shd w:val="clear"/>
        <w:kinsoku/>
        <w:wordWrap/>
        <w:overflowPunct/>
        <w:topLinePunct w:val="0"/>
        <w:autoSpaceDE w:val="0"/>
        <w:autoSpaceDN/>
        <w:bidi w:val="0"/>
        <w:adjustRightInd w:val="0"/>
        <w:snapToGrid w:val="0"/>
        <w:spacing w:beforeAutospacing="0" w:afterAutospacing="0" w:line="600" w:lineRule="exact"/>
        <w:ind w:left="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（六）国有资本经营预算财政拨款支出决算情况说明</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sz w:val="32"/>
          <w:szCs w:val="32"/>
          <w:highlight w:val="none"/>
          <w:shd w:val="clear" w:color="auto" w:fill="auto"/>
        </w:rPr>
      </w:pPr>
      <w:r>
        <w:rPr>
          <w:rStyle w:val="10"/>
          <w:rFonts w:ascii="方正仿宋_GBK" w:hAnsi="方正仿宋_GBK" w:eastAsia="方正仿宋_GBK" w:cs="方正仿宋_GBK"/>
          <w:sz w:val="32"/>
          <w:szCs w:val="32"/>
          <w:highlight w:val="none"/>
          <w:shd w:val="clear" w:color="auto" w:fill="auto"/>
        </w:rPr>
        <w:t>本单位2023年度无国有资本经营预算财政拨款支出。</w:t>
      </w:r>
    </w:p>
    <w:p>
      <w:pPr>
        <w:pStyle w:val="6"/>
        <w:keepNext w:val="0"/>
        <w:keepLines w:val="0"/>
        <w:pageBreakBefore w:val="0"/>
        <w:shd w:val="clear" w:color="auto"/>
        <w:kinsoku/>
        <w:wordWrap/>
        <w:overflowPunct/>
        <w:topLinePunct w:val="0"/>
        <w:autoSpaceDN/>
        <w:bidi w:val="0"/>
        <w:adjustRightInd w:val="0"/>
        <w:snapToGrid w:val="0"/>
        <w:spacing w:before="0" w:beforeAutospacing="0" w:after="0" w:afterAutospacing="0" w:line="600" w:lineRule="exact"/>
        <w:ind w:left="0" w:firstLine="640" w:firstLineChars="200"/>
        <w:textAlignment w:val="auto"/>
        <w:rPr>
          <w:rStyle w:val="10"/>
          <w:rFonts w:hint="eastAsia" w:ascii="方正黑体_GBK" w:hAnsi="方正黑体_GBK" w:eastAsia="方正黑体_GBK" w:cs="方正黑体_GBK"/>
          <w:b w:val="0"/>
          <w:bCs/>
          <w:sz w:val="32"/>
          <w:szCs w:val="32"/>
          <w:highlight w:val="none"/>
          <w:shd w:val="clear" w:color="auto" w:fill="FFFFFF"/>
        </w:rPr>
      </w:pPr>
      <w:r>
        <w:rPr>
          <w:rStyle w:val="10"/>
          <w:rFonts w:hint="eastAsia" w:ascii="方正黑体_GBK" w:hAnsi="方正黑体_GBK" w:eastAsia="方正黑体_GBK" w:cs="方正黑体_GBK"/>
          <w:b w:val="0"/>
          <w:bCs/>
          <w:sz w:val="32"/>
          <w:szCs w:val="32"/>
          <w:highlight w:val="none"/>
          <w:shd w:val="clear" w:color="auto" w:fill="FFFFFF"/>
        </w:rPr>
        <w:t>三、“三公”经费情况说明</w:t>
      </w:r>
    </w:p>
    <w:p>
      <w:pPr>
        <w:pStyle w:val="11"/>
        <w:keepNext w:val="0"/>
        <w:keepLines w:val="0"/>
        <w:pageBreakBefore w:val="0"/>
        <w:shd w:val="clear"/>
        <w:kinsoku/>
        <w:wordWrap/>
        <w:overflowPunct/>
        <w:topLinePunct w:val="0"/>
        <w:autoSpaceDE w:val="0"/>
        <w:autoSpaceDN/>
        <w:bidi w:val="0"/>
        <w:adjustRightInd w:val="0"/>
        <w:snapToGrid w:val="0"/>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（一）“三公”经费支出总体情况说明</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2023年度“三公”经费支出共计</w:t>
      </w:r>
      <w:r>
        <w:rPr>
          <w:rFonts w:ascii="方正仿宋_GBK" w:hAnsi="方正仿宋_GBK" w:eastAsia="方正仿宋_GBK" w:cs="方正仿宋_GBK"/>
          <w:sz w:val="32"/>
          <w:szCs w:val="32"/>
          <w:highlight w:val="none"/>
        </w:rPr>
        <w:t>4.64</w:t>
      </w:r>
      <w:r>
        <w:rPr>
          <w:rFonts w:ascii="方正仿宋_GBK" w:hAnsi="方正仿宋_GBK" w:eastAsia="方正仿宋_GBK" w:cs="方正仿宋_GBK"/>
          <w:sz w:val="32"/>
          <w:szCs w:val="32"/>
          <w:highlight w:val="none"/>
          <w:shd w:val="clear" w:color="auto" w:fill="FFFFFF"/>
        </w:rPr>
        <w:t>万元，较年初预算数减少4.96万元，下降51.67%，主要原因是</w:t>
      </w:r>
      <w:r>
        <w:rPr>
          <w:rFonts w:hint="eastAsia" w:ascii="方正仿宋_GBK" w:hAnsi="方正仿宋_GBK" w:eastAsia="方正仿宋_GBK" w:cs="方正仿宋_GBK"/>
          <w:sz w:val="32"/>
          <w:szCs w:val="32"/>
          <w:highlight w:val="none"/>
          <w:shd w:val="clear" w:color="auto" w:fill="FFFFFF"/>
          <w:lang w:val="en-US" w:eastAsia="zh-CN"/>
        </w:rPr>
        <w:t>减少公务用车运行费和公务接待费。</w:t>
      </w:r>
      <w:r>
        <w:rPr>
          <w:rFonts w:ascii="方正仿宋_GBK" w:hAnsi="方正仿宋_GBK" w:eastAsia="方正仿宋_GBK" w:cs="方正仿宋_GBK"/>
          <w:sz w:val="32"/>
          <w:szCs w:val="32"/>
          <w:highlight w:val="none"/>
          <w:shd w:val="clear" w:color="auto" w:fill="FFFFFF"/>
        </w:rPr>
        <w:t>较上年支出数减少1.66万元，下降26.35%，主要原因是</w:t>
      </w:r>
      <w:r>
        <w:rPr>
          <w:rFonts w:hint="eastAsia" w:ascii="方正仿宋_GBK" w:hAnsi="方正仿宋_GBK" w:eastAsia="方正仿宋_GBK" w:cs="方正仿宋_GBK"/>
          <w:sz w:val="32"/>
          <w:szCs w:val="32"/>
          <w:highlight w:val="none"/>
          <w:shd w:val="clear" w:color="auto" w:fill="FFFFFF"/>
          <w:lang w:val="en-US" w:eastAsia="zh-CN"/>
        </w:rPr>
        <w:t>减少公务用车运行费。</w:t>
      </w:r>
    </w:p>
    <w:p>
      <w:pPr>
        <w:pStyle w:val="11"/>
        <w:keepNext w:val="0"/>
        <w:keepLines w:val="0"/>
        <w:pageBreakBefore w:val="0"/>
        <w:shd w:val="clear"/>
        <w:kinsoku/>
        <w:wordWrap/>
        <w:overflowPunct/>
        <w:topLinePunct w:val="0"/>
        <w:autoSpaceDE w:val="0"/>
        <w:autoSpaceDN/>
        <w:bidi w:val="0"/>
        <w:adjustRightInd w:val="0"/>
        <w:snapToGrid w:val="0"/>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（二）“三公”经费分项支出情况</w:t>
      </w:r>
    </w:p>
    <w:p>
      <w:pPr>
        <w:pStyle w:val="6"/>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本单位202</w:t>
      </w:r>
      <w:r>
        <w:rPr>
          <w:rFonts w:hint="eastAsia" w:ascii="方正仿宋_GBK" w:hAnsi="方正仿宋_GBK" w:eastAsia="方正仿宋_GBK" w:cs="方正仿宋_GBK"/>
          <w:sz w:val="32"/>
          <w:szCs w:val="32"/>
          <w:highlight w:val="none"/>
          <w:shd w:val="clear" w:color="auto" w:fill="FFFFFF"/>
          <w:lang w:val="en-US" w:eastAsia="zh-CN"/>
        </w:rPr>
        <w:t>3</w:t>
      </w:r>
      <w:r>
        <w:rPr>
          <w:rFonts w:hint="eastAsia" w:ascii="方正仿宋_GBK" w:hAnsi="方正仿宋_GBK" w:eastAsia="方正仿宋_GBK" w:cs="方正仿宋_GBK"/>
          <w:sz w:val="32"/>
          <w:szCs w:val="32"/>
          <w:highlight w:val="none"/>
          <w:shd w:val="clear" w:color="auto" w:fill="FFFFFF"/>
        </w:rPr>
        <w:t>年度未发生因公出国（境）费用、公务车购置费用支出，与上年决算数持平。</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highlight w:val="none"/>
          <w:shd w:val="clear" w:color="auto" w:fill="FFFFFF"/>
        </w:rPr>
        <w:t>公务车运行维护费</w:t>
      </w:r>
      <w:r>
        <w:rPr>
          <w:rFonts w:ascii="方正仿宋_GBK" w:hAnsi="方正仿宋_GBK" w:eastAsia="方正仿宋_GBK" w:cs="方正仿宋_GBK"/>
          <w:sz w:val="32"/>
          <w:szCs w:val="32"/>
          <w:highlight w:val="none"/>
        </w:rPr>
        <w:t>4.00</w:t>
      </w:r>
      <w:r>
        <w:rPr>
          <w:rFonts w:ascii="方正仿宋_GBK" w:hAnsi="方正仿宋_GBK" w:eastAsia="方正仿宋_GBK" w:cs="方正仿宋_GBK"/>
          <w:sz w:val="32"/>
          <w:szCs w:val="32"/>
          <w:highlight w:val="none"/>
          <w:shd w:val="clear" w:color="auto" w:fill="FFFFFF"/>
        </w:rPr>
        <w:t>万元，主要用于</w:t>
      </w:r>
      <w:r>
        <w:rPr>
          <w:rFonts w:hint="default" w:ascii="Times New Roman" w:hAnsi="Times New Roman" w:eastAsia="方正仿宋_GBK" w:cs="Times New Roman"/>
          <w:sz w:val="32"/>
          <w:szCs w:val="32"/>
        </w:rPr>
        <w:t>燃油费、维修维护</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jc w:val="both"/>
        <w:textAlignment w:val="auto"/>
        <w:rPr>
          <w:rFonts w:hint="default"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rPr>
        <w:t>费、过路费及保险费等</w:t>
      </w:r>
      <w:r>
        <w:rPr>
          <w:rFonts w:hint="eastAsia"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highlight w:val="none"/>
          <w:shd w:val="clear" w:color="auto" w:fill="FFFFFF"/>
        </w:rPr>
        <w:t>费用支出较年初预算数减少2.60万元，下降39.39%，主要原因是</w:t>
      </w:r>
      <w:r>
        <w:rPr>
          <w:rFonts w:hint="eastAsia" w:ascii="方正仿宋_GBK" w:hAnsi="方正仿宋_GBK" w:eastAsia="方正仿宋_GBK" w:cs="方正仿宋_GBK"/>
          <w:sz w:val="32"/>
          <w:szCs w:val="32"/>
          <w:highlight w:val="none"/>
          <w:shd w:val="clear" w:color="auto" w:fill="FFFFFF"/>
          <w:lang w:val="en-US" w:eastAsia="zh-CN"/>
        </w:rPr>
        <w:t>厉行节约，减少开支。</w:t>
      </w:r>
      <w:r>
        <w:rPr>
          <w:rFonts w:ascii="方正仿宋_GBK" w:hAnsi="方正仿宋_GBK" w:eastAsia="方正仿宋_GBK" w:cs="方正仿宋_GBK"/>
          <w:sz w:val="32"/>
          <w:szCs w:val="32"/>
          <w:highlight w:val="none"/>
          <w:shd w:val="clear" w:color="auto" w:fill="FFFFFF"/>
        </w:rPr>
        <w:t>较上年支出数减少2.00万元，下降33.33%，主要原因是</w:t>
      </w:r>
      <w:r>
        <w:rPr>
          <w:rFonts w:hint="eastAsia" w:ascii="方正仿宋_GBK" w:hAnsi="方正仿宋_GBK" w:eastAsia="方正仿宋_GBK" w:cs="方正仿宋_GBK"/>
          <w:sz w:val="32"/>
          <w:szCs w:val="32"/>
          <w:highlight w:val="none"/>
          <w:shd w:val="clear" w:color="auto" w:fill="FFFFFF"/>
          <w:lang w:val="en-US" w:eastAsia="zh-CN"/>
        </w:rPr>
        <w:t>厉行节约，减少开支。</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公务接待费</w:t>
      </w:r>
      <w:r>
        <w:rPr>
          <w:rFonts w:ascii="方正仿宋_GBK" w:hAnsi="方正仿宋_GBK" w:eastAsia="方正仿宋_GBK" w:cs="方正仿宋_GBK"/>
          <w:sz w:val="32"/>
          <w:szCs w:val="32"/>
          <w:highlight w:val="none"/>
        </w:rPr>
        <w:t>0.64</w:t>
      </w:r>
      <w:r>
        <w:rPr>
          <w:rFonts w:ascii="方正仿宋_GBK" w:hAnsi="方正仿宋_GBK" w:eastAsia="方正仿宋_GBK" w:cs="方正仿宋_GBK"/>
          <w:sz w:val="32"/>
          <w:szCs w:val="32"/>
          <w:highlight w:val="none"/>
          <w:shd w:val="clear" w:color="auto" w:fill="FFFFFF"/>
        </w:rPr>
        <w:t>万元，主要用于接待</w:t>
      </w:r>
      <w:r>
        <w:rPr>
          <w:rFonts w:hint="eastAsia" w:ascii="方正仿宋_GBK" w:hAnsi="方正仿宋_GBK" w:eastAsia="方正仿宋_GBK" w:cs="方正仿宋_GBK"/>
          <w:sz w:val="32"/>
          <w:szCs w:val="32"/>
          <w:highlight w:val="none"/>
          <w:shd w:val="clear" w:color="auto" w:fill="FFFFFF"/>
        </w:rPr>
        <w:t>上级部门到我单位调研、检查工作等接待支出。</w:t>
      </w:r>
      <w:r>
        <w:rPr>
          <w:rFonts w:ascii="方正仿宋_GBK" w:hAnsi="方正仿宋_GBK" w:eastAsia="方正仿宋_GBK" w:cs="方正仿宋_GBK"/>
          <w:sz w:val="32"/>
          <w:szCs w:val="32"/>
          <w:highlight w:val="none"/>
          <w:shd w:val="clear" w:color="auto" w:fill="FFFFFF"/>
        </w:rPr>
        <w:t>费用支出较年初预算数减少2.36万元，下降78.67%，主要原因是</w:t>
      </w:r>
      <w:r>
        <w:rPr>
          <w:rFonts w:hint="eastAsia" w:ascii="方正仿宋_GBK" w:hAnsi="方正仿宋_GBK" w:eastAsia="方正仿宋_GBK" w:cs="方正仿宋_GBK"/>
          <w:sz w:val="32"/>
          <w:szCs w:val="32"/>
          <w:highlight w:val="none"/>
          <w:shd w:val="clear" w:color="auto" w:fill="FFFFFF"/>
          <w:lang w:val="en-US" w:eastAsia="zh-CN"/>
        </w:rPr>
        <w:t>厉行节约，减少开支。</w:t>
      </w:r>
      <w:r>
        <w:rPr>
          <w:rFonts w:ascii="方正仿宋_GBK" w:hAnsi="方正仿宋_GBK" w:eastAsia="方正仿宋_GBK" w:cs="方正仿宋_GBK"/>
          <w:sz w:val="32"/>
          <w:szCs w:val="32"/>
          <w:highlight w:val="none"/>
          <w:shd w:val="clear" w:color="auto" w:fill="FFFFFF"/>
        </w:rPr>
        <w:t>较上年支出数增加0.34万元，增长113.33%</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shd w:val="clear" w:color="auto" w:fill="FFFFFF"/>
        </w:rPr>
        <w:t>2023年招商引资任务重，增加公务接待。</w:t>
      </w:r>
    </w:p>
    <w:p>
      <w:pPr>
        <w:pStyle w:val="11"/>
        <w:keepNext w:val="0"/>
        <w:keepLines w:val="0"/>
        <w:pageBreakBefore w:val="0"/>
        <w:shd w:val="clear"/>
        <w:kinsoku/>
        <w:wordWrap/>
        <w:overflowPunct/>
        <w:topLinePunct w:val="0"/>
        <w:autoSpaceDE w:val="0"/>
        <w:autoSpaceDN/>
        <w:bidi w:val="0"/>
        <w:adjustRightInd w:val="0"/>
        <w:snapToGrid w:val="0"/>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（三）“三公”经费实物量情况</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2023年度本单位因公出国（境）共计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个团组，</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人；公务用车购置</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辆，公务车保有量为</w:t>
      </w:r>
      <w:r>
        <w:rPr>
          <w:rFonts w:ascii="方正仿宋_GBK" w:hAnsi="方正仿宋_GBK" w:eastAsia="方正仿宋_GBK" w:cs="方正仿宋_GBK"/>
          <w:sz w:val="32"/>
          <w:szCs w:val="32"/>
          <w:highlight w:val="none"/>
        </w:rPr>
        <w:t>1</w:t>
      </w:r>
      <w:r>
        <w:rPr>
          <w:rFonts w:ascii="方正仿宋_GBK" w:hAnsi="方正仿宋_GBK" w:eastAsia="方正仿宋_GBK" w:cs="方正仿宋_GBK"/>
          <w:sz w:val="32"/>
          <w:szCs w:val="32"/>
          <w:highlight w:val="none"/>
          <w:shd w:val="clear" w:color="auto" w:fill="FFFFFF"/>
        </w:rPr>
        <w:t>辆；国内公务接待</w:t>
      </w:r>
      <w:r>
        <w:rPr>
          <w:rFonts w:ascii="方正仿宋_GBK" w:hAnsi="方正仿宋_GBK" w:eastAsia="方正仿宋_GBK" w:cs="方正仿宋_GBK"/>
          <w:sz w:val="32"/>
          <w:szCs w:val="32"/>
          <w:highlight w:val="none"/>
        </w:rPr>
        <w:t>9</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75</w:t>
      </w:r>
      <w:r>
        <w:rPr>
          <w:rFonts w:ascii="方正仿宋_GBK" w:hAnsi="方正仿宋_GBK" w:eastAsia="方正仿宋_GBK" w:cs="方正仿宋_GBK"/>
          <w:sz w:val="32"/>
          <w:szCs w:val="32"/>
          <w:highlight w:val="none"/>
          <w:shd w:val="clear" w:color="auto" w:fill="FFFFFF"/>
        </w:rPr>
        <w:t>人，其中：国内外事接待</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人；国（境）外公务接待</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人。2023年本单位人均接待费</w:t>
      </w:r>
      <w:r>
        <w:rPr>
          <w:rFonts w:ascii="方正仿宋_GBK" w:hAnsi="方正仿宋_GBK" w:eastAsia="方正仿宋_GBK" w:cs="方正仿宋_GBK"/>
          <w:sz w:val="32"/>
          <w:szCs w:val="32"/>
          <w:highlight w:val="none"/>
        </w:rPr>
        <w:t>85.36</w:t>
      </w:r>
      <w:r>
        <w:rPr>
          <w:rFonts w:ascii="方正仿宋_GBK" w:hAnsi="方正仿宋_GBK" w:eastAsia="方正仿宋_GBK" w:cs="方正仿宋_GBK"/>
          <w:sz w:val="32"/>
          <w:szCs w:val="32"/>
          <w:highlight w:val="none"/>
          <w:shd w:val="clear" w:color="auto" w:fill="FFFFFF"/>
        </w:rPr>
        <w:t>元，车均购置费</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万元，车均维护费</w:t>
      </w:r>
      <w:r>
        <w:rPr>
          <w:rFonts w:ascii="方正仿宋_GBK" w:hAnsi="方正仿宋_GBK" w:eastAsia="方正仿宋_GBK" w:cs="方正仿宋_GBK"/>
          <w:sz w:val="32"/>
          <w:szCs w:val="32"/>
          <w:highlight w:val="none"/>
        </w:rPr>
        <w:t>4.00</w:t>
      </w:r>
      <w:r>
        <w:rPr>
          <w:rFonts w:ascii="方正仿宋_GBK" w:hAnsi="方正仿宋_GBK" w:eastAsia="方正仿宋_GBK" w:cs="方正仿宋_GBK"/>
          <w:sz w:val="32"/>
          <w:szCs w:val="32"/>
          <w:highlight w:val="none"/>
          <w:shd w:val="clear" w:color="auto" w:fill="FFFFFF"/>
        </w:rPr>
        <w:t>万元。</w:t>
      </w:r>
    </w:p>
    <w:p>
      <w:pPr>
        <w:pStyle w:val="6"/>
        <w:keepNext w:val="0"/>
        <w:keepLines w:val="0"/>
        <w:pageBreakBefore w:val="0"/>
        <w:shd w:val="clear" w:color="auto"/>
        <w:kinsoku/>
        <w:wordWrap/>
        <w:overflowPunct/>
        <w:topLinePunct w:val="0"/>
        <w:autoSpaceDN/>
        <w:bidi w:val="0"/>
        <w:adjustRightInd w:val="0"/>
        <w:snapToGrid w:val="0"/>
        <w:spacing w:before="0" w:beforeAutospacing="0" w:after="0" w:afterAutospacing="0" w:line="600" w:lineRule="exact"/>
        <w:ind w:left="0" w:firstLine="640" w:firstLineChars="200"/>
        <w:textAlignment w:val="auto"/>
        <w:rPr>
          <w:rStyle w:val="10"/>
          <w:rFonts w:hint="eastAsia" w:ascii="方正黑体_GBK" w:hAnsi="方正黑体_GBK" w:eastAsia="方正黑体_GBK" w:cs="方正黑体_GBK"/>
          <w:b w:val="0"/>
          <w:bCs/>
          <w:sz w:val="32"/>
          <w:szCs w:val="32"/>
          <w:highlight w:val="none"/>
          <w:shd w:val="clear" w:color="auto" w:fill="FFFFFF"/>
        </w:rPr>
      </w:pPr>
      <w:r>
        <w:rPr>
          <w:rStyle w:val="10"/>
          <w:rFonts w:hint="eastAsia" w:ascii="方正黑体_GBK" w:hAnsi="方正黑体_GBK" w:eastAsia="方正黑体_GBK" w:cs="方正黑体_GBK"/>
          <w:b w:val="0"/>
          <w:bCs/>
          <w:sz w:val="32"/>
          <w:szCs w:val="32"/>
          <w:highlight w:val="none"/>
          <w:shd w:val="clear" w:color="auto" w:fill="FFFFFF"/>
        </w:rPr>
        <w:t>四、其他需要说明的事项</w:t>
      </w:r>
    </w:p>
    <w:p>
      <w:pPr>
        <w:pStyle w:val="11"/>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（一）财政拨款会议费和培训费情况说明</w:t>
      </w:r>
    </w:p>
    <w:p>
      <w:pPr>
        <w:pStyle w:val="6"/>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本年度会议费支出</w:t>
      </w:r>
      <w:r>
        <w:rPr>
          <w:rFonts w:ascii="方正仿宋_GBK" w:hAnsi="方正仿宋_GBK" w:eastAsia="方正仿宋_GBK" w:cs="方正仿宋_GBK"/>
          <w:sz w:val="32"/>
          <w:szCs w:val="32"/>
          <w:highlight w:val="none"/>
        </w:rPr>
        <w:t>0.50</w:t>
      </w:r>
      <w:r>
        <w:rPr>
          <w:rFonts w:ascii="方正仿宋_GBK" w:hAnsi="方正仿宋_GBK" w:eastAsia="方正仿宋_GBK" w:cs="方正仿宋_GBK"/>
          <w:sz w:val="32"/>
          <w:szCs w:val="32"/>
          <w:highlight w:val="none"/>
          <w:shd w:val="clear" w:color="auto" w:fill="FFFFFF"/>
        </w:rPr>
        <w:t>万元，较上年决算数减少1.40万元，下降73.68%，主要原因是</w:t>
      </w:r>
      <w:r>
        <w:rPr>
          <w:rFonts w:hint="eastAsia" w:ascii="方正仿宋_GBK" w:hAnsi="方正仿宋_GBK" w:eastAsia="方正仿宋_GBK" w:cs="方正仿宋_GBK"/>
          <w:sz w:val="32"/>
          <w:szCs w:val="32"/>
          <w:highlight w:val="none"/>
          <w:shd w:val="clear" w:color="auto" w:fill="FFFFFF"/>
          <w:lang w:val="en-US" w:eastAsia="zh-CN"/>
        </w:rPr>
        <w:t>本年度</w:t>
      </w:r>
      <w:r>
        <w:rPr>
          <w:rFonts w:hint="default" w:ascii="Times New Roman" w:hAnsi="Times New Roman" w:eastAsia="方正仿宋_GBK" w:cs="Times New Roman"/>
          <w:sz w:val="32"/>
          <w:szCs w:val="32"/>
        </w:rPr>
        <w:t>精简会议，区别会议和培训支出。</w:t>
      </w:r>
      <w:r>
        <w:rPr>
          <w:rFonts w:ascii="方正仿宋_GBK" w:hAnsi="方正仿宋_GBK" w:eastAsia="方正仿宋_GBK" w:cs="方正仿宋_GBK"/>
          <w:sz w:val="32"/>
          <w:szCs w:val="32"/>
          <w:highlight w:val="none"/>
          <w:shd w:val="clear" w:color="auto" w:fill="FFFFFF"/>
        </w:rPr>
        <w:t>本年度培训费支出</w:t>
      </w:r>
      <w:r>
        <w:rPr>
          <w:rFonts w:ascii="方正仿宋_GBK" w:hAnsi="方正仿宋_GBK" w:eastAsia="方正仿宋_GBK" w:cs="方正仿宋_GBK"/>
          <w:sz w:val="32"/>
          <w:szCs w:val="32"/>
          <w:highlight w:val="none"/>
        </w:rPr>
        <w:t>2.76</w:t>
      </w:r>
      <w:r>
        <w:rPr>
          <w:rFonts w:ascii="方正仿宋_GBK" w:hAnsi="方正仿宋_GBK" w:eastAsia="方正仿宋_GBK" w:cs="方正仿宋_GBK"/>
          <w:sz w:val="32"/>
          <w:szCs w:val="32"/>
          <w:highlight w:val="none"/>
          <w:shd w:val="clear" w:color="auto" w:fill="FFFFFF"/>
        </w:rPr>
        <w:t>万元，较上年决算数增加1.36万元，增长97.14%，主要原因是</w:t>
      </w:r>
      <w:r>
        <w:rPr>
          <w:rFonts w:hint="eastAsia" w:ascii="方正仿宋_GBK" w:hAnsi="方正仿宋_GBK" w:eastAsia="方正仿宋_GBK" w:cs="方正仿宋_GBK"/>
          <w:sz w:val="32"/>
          <w:szCs w:val="32"/>
          <w:highlight w:val="none"/>
          <w:shd w:val="clear" w:color="auto" w:fill="FFFFFF"/>
          <w:lang w:val="en-US" w:eastAsia="zh-CN"/>
        </w:rPr>
        <w:t>根据年度任务，增加业务和企业培训</w:t>
      </w:r>
      <w:r>
        <w:rPr>
          <w:rFonts w:ascii="方正仿宋_GBK" w:hAnsi="方正仿宋_GBK" w:eastAsia="方正仿宋_GBK" w:cs="方正仿宋_GBK"/>
          <w:sz w:val="32"/>
          <w:szCs w:val="32"/>
          <w:highlight w:val="none"/>
          <w:shd w:val="clear" w:color="auto" w:fill="FFFFFF"/>
        </w:rPr>
        <w:t>。</w:t>
      </w:r>
    </w:p>
    <w:p>
      <w:pPr>
        <w:pStyle w:val="11"/>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（二）机关运行经费情况说明</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2023年度本单位机关运行经费支出</w:t>
      </w:r>
      <w:r>
        <w:rPr>
          <w:rFonts w:ascii="方正仿宋_GBK" w:hAnsi="方正仿宋_GBK" w:eastAsia="方正仿宋_GBK" w:cs="方正仿宋_GBK"/>
          <w:sz w:val="32"/>
          <w:szCs w:val="32"/>
          <w:highlight w:val="none"/>
        </w:rPr>
        <w:t>46.18</w:t>
      </w:r>
      <w:r>
        <w:rPr>
          <w:rFonts w:ascii="方正仿宋_GBK" w:hAnsi="方正仿宋_GBK" w:eastAsia="方正仿宋_GBK" w:cs="方正仿宋_GBK"/>
          <w:sz w:val="32"/>
          <w:szCs w:val="32"/>
          <w:highlight w:val="none"/>
          <w:shd w:val="clear" w:color="auto" w:fill="FFFFFF"/>
        </w:rPr>
        <w:t>万元，机关运行</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jc w:val="both"/>
        <w:textAlignment w:val="auto"/>
        <w:rPr>
          <w:rFonts w:hint="default" w:ascii="方正仿宋_GBK" w:hAnsi="方正仿宋_GBK" w:eastAsia="方正仿宋_GBK" w:cs="方正仿宋_GBK"/>
          <w:color w:val="FF0000"/>
          <w:sz w:val="32"/>
          <w:szCs w:val="32"/>
          <w:highlight w:val="none"/>
        </w:rPr>
      </w:pPr>
      <w:r>
        <w:rPr>
          <w:rFonts w:ascii="方正仿宋_GBK" w:hAnsi="方正仿宋_GBK" w:eastAsia="方正仿宋_GBK" w:cs="方正仿宋_GBK"/>
          <w:sz w:val="32"/>
          <w:szCs w:val="32"/>
          <w:highlight w:val="none"/>
          <w:shd w:val="clear" w:color="auto" w:fill="FFFFFF"/>
        </w:rPr>
        <w:t>经费主要用于开支</w:t>
      </w:r>
      <w:r>
        <w:rPr>
          <w:rFonts w:hint="default" w:ascii="Times New Roman" w:hAnsi="Times New Roman" w:eastAsia="方正仿宋_GBK" w:cs="Times New Roman"/>
          <w:sz w:val="32"/>
          <w:szCs w:val="32"/>
        </w:rPr>
        <w:t>办公费、劳务费、差旅费、培训费、公车运行维护费等。</w:t>
      </w:r>
      <w:r>
        <w:rPr>
          <w:rFonts w:ascii="方正仿宋_GBK" w:hAnsi="方正仿宋_GBK" w:eastAsia="方正仿宋_GBK" w:cs="方正仿宋_GBK"/>
          <w:sz w:val="32"/>
          <w:szCs w:val="32"/>
          <w:highlight w:val="none"/>
          <w:shd w:val="clear" w:color="auto" w:fill="FFFFFF"/>
        </w:rPr>
        <w:t>机关运行经费较上年支出数减少3.29万元，下降6.65%，主要原因是</w:t>
      </w:r>
      <w:r>
        <w:rPr>
          <w:rFonts w:hint="eastAsia" w:ascii="方正仿宋_GBK" w:hAnsi="方正仿宋_GBK" w:eastAsia="方正仿宋_GBK" w:cs="方正仿宋_GBK"/>
          <w:sz w:val="32"/>
          <w:szCs w:val="32"/>
          <w:highlight w:val="none"/>
          <w:shd w:val="clear" w:color="auto" w:fill="FFFFFF"/>
          <w:lang w:val="en-US" w:eastAsia="zh-CN"/>
        </w:rPr>
        <w:t>节约开支，减少机关运行支出。</w:t>
      </w:r>
    </w:p>
    <w:p>
      <w:pPr>
        <w:pStyle w:val="11"/>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（三）国有资产占用情况说明</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截至2023年12月31日，本单位共有车辆</w:t>
      </w:r>
      <w:r>
        <w:rPr>
          <w:rFonts w:ascii="方正仿宋_GBK" w:hAnsi="方正仿宋_GBK" w:eastAsia="方正仿宋_GBK" w:cs="方正仿宋_GBK"/>
          <w:sz w:val="32"/>
          <w:szCs w:val="32"/>
          <w:highlight w:val="none"/>
        </w:rPr>
        <w:t>1</w:t>
      </w:r>
      <w:r>
        <w:rPr>
          <w:rFonts w:ascii="方正仿宋_GBK" w:hAnsi="方正仿宋_GBK" w:eastAsia="方正仿宋_GBK" w:cs="方正仿宋_GBK"/>
          <w:sz w:val="32"/>
          <w:szCs w:val="32"/>
          <w:highlight w:val="none"/>
          <w:shd w:val="clear" w:color="auto" w:fill="FFFFFF"/>
        </w:rPr>
        <w:t>辆，其中，副部（省）级及以上领导用车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辆、主要负责人用车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辆、机要通信用车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辆、应急保障用车</w:t>
      </w:r>
      <w:r>
        <w:rPr>
          <w:rFonts w:ascii="方正仿宋_GBK" w:hAnsi="方正仿宋_GBK" w:eastAsia="方正仿宋_GBK" w:cs="方正仿宋_GBK"/>
          <w:sz w:val="32"/>
          <w:szCs w:val="32"/>
          <w:highlight w:val="none"/>
        </w:rPr>
        <w:t>1</w:t>
      </w:r>
      <w:r>
        <w:rPr>
          <w:rFonts w:ascii="方正仿宋_GBK" w:hAnsi="方正仿宋_GBK" w:eastAsia="方正仿宋_GBK" w:cs="方正仿宋_GBK"/>
          <w:sz w:val="32"/>
          <w:szCs w:val="32"/>
          <w:highlight w:val="none"/>
          <w:shd w:val="clear" w:color="auto" w:fill="FFFFFF"/>
        </w:rPr>
        <w:t>辆、执法执勤用车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辆，特种专业技术用车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辆，离退休干部用车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辆。单价100万元（含）以上专用设备</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台（套）。</w:t>
      </w:r>
    </w:p>
    <w:p>
      <w:pPr>
        <w:pStyle w:val="11"/>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（四）政府采购支出情况说明</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2023年度本单位政府采购支出总额</w:t>
      </w:r>
      <w:r>
        <w:rPr>
          <w:rFonts w:ascii="方正仿宋_GBK" w:hAnsi="方正仿宋_GBK" w:eastAsia="方正仿宋_GBK" w:cs="方正仿宋_GBK"/>
          <w:sz w:val="32"/>
          <w:szCs w:val="32"/>
          <w:highlight w:val="none"/>
        </w:rPr>
        <w:t>17.04</w:t>
      </w:r>
      <w:r>
        <w:rPr>
          <w:rFonts w:ascii="方正仿宋_GBK" w:hAnsi="方正仿宋_GBK" w:eastAsia="方正仿宋_GBK" w:cs="方正仿宋_GBK"/>
          <w:sz w:val="32"/>
          <w:szCs w:val="32"/>
          <w:highlight w:val="none"/>
          <w:shd w:val="clear" w:color="auto" w:fill="FFFFFF"/>
        </w:rPr>
        <w:t>万元，其中：政府采购货物支出</w:t>
      </w:r>
      <w:r>
        <w:rPr>
          <w:rFonts w:ascii="方正仿宋_GBK" w:hAnsi="方正仿宋_GBK" w:eastAsia="方正仿宋_GBK" w:cs="方正仿宋_GBK"/>
          <w:sz w:val="32"/>
          <w:szCs w:val="32"/>
          <w:highlight w:val="none"/>
        </w:rPr>
        <w:t>17.04</w:t>
      </w:r>
      <w:r>
        <w:rPr>
          <w:rFonts w:ascii="方正仿宋_GBK" w:hAnsi="方正仿宋_GBK" w:eastAsia="方正仿宋_GBK" w:cs="方正仿宋_GBK"/>
          <w:sz w:val="32"/>
          <w:szCs w:val="32"/>
          <w:highlight w:val="none"/>
          <w:shd w:val="clear" w:color="auto" w:fill="FFFFFF"/>
        </w:rPr>
        <w:t>万元、政府采购工程支出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万元、政府采购服务支出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万元。授予中小企业合同金额</w:t>
      </w:r>
      <w:r>
        <w:rPr>
          <w:rFonts w:ascii="方正仿宋_GBK" w:hAnsi="方正仿宋_GBK" w:eastAsia="方正仿宋_GBK" w:cs="方正仿宋_GBK"/>
          <w:sz w:val="32"/>
          <w:szCs w:val="32"/>
          <w:highlight w:val="none"/>
        </w:rPr>
        <w:t>17.04万</w:t>
      </w:r>
      <w:r>
        <w:rPr>
          <w:rFonts w:ascii="方正仿宋_GBK" w:hAnsi="方正仿宋_GBK" w:eastAsia="方正仿宋_GBK" w:cs="方正仿宋_GBK"/>
          <w:sz w:val="32"/>
          <w:szCs w:val="32"/>
          <w:highlight w:val="none"/>
          <w:shd w:val="clear" w:color="auto" w:fill="FFFFFF"/>
        </w:rPr>
        <w:t>元，占政府采购支出总额的</w:t>
      </w:r>
      <w:r>
        <w:rPr>
          <w:rFonts w:ascii="方正仿宋_GBK" w:hAnsi="方正仿宋_GBK" w:eastAsia="方正仿宋_GBK" w:cs="方正仿宋_GBK"/>
          <w:sz w:val="32"/>
          <w:szCs w:val="32"/>
          <w:highlight w:val="none"/>
        </w:rPr>
        <w:t>100.00</w:t>
      </w:r>
      <w:r>
        <w:rPr>
          <w:rFonts w:ascii="方正仿宋_GBK" w:hAnsi="方正仿宋_GBK" w:eastAsia="方正仿宋_GBK" w:cs="方正仿宋_GBK"/>
          <w:sz w:val="32"/>
          <w:szCs w:val="32"/>
          <w:highlight w:val="none"/>
          <w:shd w:val="clear" w:color="auto" w:fill="FFFFFF"/>
        </w:rPr>
        <w:t>%，其中：授予小微企业合同金额</w:t>
      </w:r>
      <w:r>
        <w:rPr>
          <w:rFonts w:ascii="方正仿宋_GBK" w:hAnsi="方正仿宋_GBK" w:eastAsia="方正仿宋_GBK" w:cs="方正仿宋_GBK"/>
          <w:sz w:val="32"/>
          <w:szCs w:val="32"/>
          <w:highlight w:val="none"/>
        </w:rPr>
        <w:t>17.04</w:t>
      </w:r>
      <w:r>
        <w:rPr>
          <w:rFonts w:ascii="方正仿宋_GBK" w:hAnsi="方正仿宋_GBK" w:eastAsia="方正仿宋_GBK" w:cs="方正仿宋_GBK"/>
          <w:sz w:val="32"/>
          <w:szCs w:val="32"/>
          <w:highlight w:val="none"/>
          <w:shd w:val="clear" w:color="auto" w:fill="FFFFFF"/>
        </w:rPr>
        <w:t>万元，占政府采购支出总额的</w:t>
      </w:r>
      <w:r>
        <w:rPr>
          <w:rFonts w:ascii="方正仿宋_GBK" w:hAnsi="方正仿宋_GBK" w:eastAsia="方正仿宋_GBK" w:cs="方正仿宋_GBK"/>
          <w:sz w:val="32"/>
          <w:szCs w:val="32"/>
          <w:highlight w:val="none"/>
        </w:rPr>
        <w:t>100.00</w:t>
      </w:r>
      <w:r>
        <w:rPr>
          <w:rFonts w:ascii="方正仿宋_GBK" w:hAnsi="方正仿宋_GBK" w:eastAsia="方正仿宋_GBK" w:cs="方正仿宋_GBK"/>
          <w:sz w:val="32"/>
          <w:szCs w:val="32"/>
          <w:highlight w:val="none"/>
          <w:shd w:val="clear" w:color="auto" w:fill="FFFFFF"/>
        </w:rPr>
        <w:t xml:space="preserve"> %。主要用于采购</w:t>
      </w:r>
      <w:r>
        <w:rPr>
          <w:rFonts w:hint="eastAsia" w:ascii="方正仿宋_GBK" w:hAnsi="方正仿宋_GBK" w:eastAsia="方正仿宋_GBK" w:cs="方正仿宋_GBK"/>
          <w:sz w:val="32"/>
          <w:szCs w:val="32"/>
          <w:highlight w:val="none"/>
          <w:shd w:val="clear" w:color="auto" w:fill="FFFFFF"/>
          <w:lang w:val="en-US" w:eastAsia="zh-CN"/>
        </w:rPr>
        <w:t>办公设备设施。</w:t>
      </w:r>
    </w:p>
    <w:p>
      <w:pPr>
        <w:pStyle w:val="6"/>
        <w:keepNext w:val="0"/>
        <w:keepLines w:val="0"/>
        <w:pageBreakBefore w:val="0"/>
        <w:numPr>
          <w:ilvl w:val="0"/>
          <w:numId w:val="0"/>
        </w:numPr>
        <w:shd w:val="clear" w:color="auto"/>
        <w:kinsoku/>
        <w:wordWrap/>
        <w:overflowPunct/>
        <w:topLinePunct w:val="0"/>
        <w:autoSpaceDN/>
        <w:bidi w:val="0"/>
        <w:adjustRightInd w:val="0"/>
        <w:snapToGrid w:val="0"/>
        <w:spacing w:before="0"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sz w:val="32"/>
          <w:szCs w:val="32"/>
          <w:highlight w:val="none"/>
          <w:shd w:val="clear" w:color="auto" w:fill="FFFFFF"/>
        </w:rPr>
      </w:pPr>
      <w:r>
        <w:rPr>
          <w:rStyle w:val="10"/>
          <w:rFonts w:hint="eastAsia" w:ascii="方正黑体_GBK" w:hAnsi="方正黑体_GBK" w:eastAsia="方正黑体_GBK" w:cs="方正黑体_GBK"/>
          <w:b w:val="0"/>
          <w:bCs/>
          <w:sz w:val="32"/>
          <w:szCs w:val="32"/>
          <w:highlight w:val="none"/>
          <w:shd w:val="clear" w:color="auto" w:fill="FFFFFF"/>
          <w:lang w:val="en-US" w:eastAsia="zh-CN"/>
        </w:rPr>
        <w:t>五、</w:t>
      </w:r>
      <w:r>
        <w:rPr>
          <w:rStyle w:val="10"/>
          <w:rFonts w:hint="eastAsia" w:ascii="方正黑体_GBK" w:hAnsi="方正黑体_GBK" w:eastAsia="方正黑体_GBK" w:cs="方正黑体_GBK"/>
          <w:b w:val="0"/>
          <w:bCs/>
          <w:sz w:val="32"/>
          <w:szCs w:val="32"/>
          <w:highlight w:val="none"/>
          <w:shd w:val="clear" w:color="auto" w:fill="FFFFFF"/>
        </w:rPr>
        <w:t>预算绩效管理情况说明</w:t>
      </w:r>
    </w:p>
    <w:p>
      <w:pPr>
        <w:pStyle w:val="11"/>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（一）</w:t>
      </w:r>
      <w:r>
        <w:rPr>
          <w:rFonts w:hint="eastAsia" w:ascii="方正楷体_GBK" w:hAnsi="方正楷体_GBK" w:eastAsia="方正楷体_GBK" w:cs="方正楷体_GBK"/>
          <w:b w:val="0"/>
          <w:bCs w:val="0"/>
          <w:sz w:val="32"/>
          <w:szCs w:val="32"/>
          <w:highlight w:val="none"/>
          <w:shd w:val="clear" w:color="auto" w:fill="FFFFFF"/>
          <w:lang w:eastAsia="zh-CN"/>
        </w:rPr>
        <w:t>部门</w:t>
      </w:r>
      <w:r>
        <w:rPr>
          <w:rFonts w:hint="eastAsia" w:ascii="方正楷体_GBK" w:hAnsi="方正楷体_GBK" w:eastAsia="方正楷体_GBK" w:cs="方正楷体_GBK"/>
          <w:b w:val="0"/>
          <w:bCs w:val="0"/>
          <w:sz w:val="32"/>
          <w:szCs w:val="32"/>
          <w:highlight w:val="none"/>
          <w:shd w:val="clear" w:color="auto" w:fill="FFFFFF"/>
        </w:rPr>
        <w:t>自评情况</w:t>
      </w:r>
    </w:p>
    <w:p>
      <w:pPr>
        <w:pStyle w:val="12"/>
        <w:keepNext w:val="0"/>
        <w:keepLines w:val="0"/>
        <w:pageBreakBefore w:val="0"/>
        <w:shd w:val="clear"/>
        <w:kinsoku/>
        <w:wordWrap/>
        <w:overflowPunct/>
        <w:topLinePunct w:val="0"/>
        <w:autoSpaceDE w:val="0"/>
        <w:autoSpaceDN/>
        <w:bidi w:val="0"/>
        <w:adjustRightInd w:val="0"/>
        <w:snapToGrid w:val="0"/>
        <w:spacing w:before="0" w:beforeAutospacing="0" w:after="0" w:afterAutospacing="0" w:line="600" w:lineRule="exact"/>
        <w:ind w:left="0" w:firstLine="640" w:firstLineChars="200"/>
        <w:textAlignment w:val="auto"/>
        <w:rPr>
          <w:rFonts w:hint="eastAsia" w:ascii="方正仿宋_GBK" w:hAnsi="方正仿宋_GBK" w:eastAsia="方正仿宋_GBK" w:cs="方正仿宋_GBK"/>
          <w:sz w:val="32"/>
          <w:szCs w:val="32"/>
          <w:highlight w:val="none"/>
          <w:shd w:val="clear" w:color="auto" w:fill="FFFFFF"/>
          <w:lang w:eastAsia="zh-CN"/>
        </w:rPr>
      </w:pPr>
      <w:r>
        <w:rPr>
          <w:rFonts w:hint="eastAsia" w:ascii="方正仿宋_GBK" w:hAnsi="方正仿宋_GBK" w:eastAsia="方正仿宋_GBK" w:cs="方正仿宋_GBK"/>
          <w:sz w:val="32"/>
          <w:szCs w:val="32"/>
          <w:highlight w:val="none"/>
          <w:shd w:val="clear" w:color="auto" w:fill="FFFFFF"/>
        </w:rPr>
        <w:t>根据预算绩效管理要求，我</w:t>
      </w:r>
      <w:r>
        <w:rPr>
          <w:rFonts w:hint="eastAsia" w:ascii="方正仿宋_GBK" w:hAnsi="方正仿宋_GBK" w:eastAsia="方正仿宋_GBK" w:cs="方正仿宋_GBK"/>
          <w:sz w:val="32"/>
          <w:szCs w:val="32"/>
          <w:highlight w:val="none"/>
          <w:shd w:val="clear" w:color="auto" w:fill="FFFFFF"/>
          <w:lang w:eastAsia="zh-CN"/>
        </w:rPr>
        <w:t>部门</w:t>
      </w:r>
      <w:r>
        <w:rPr>
          <w:rFonts w:hint="eastAsia" w:ascii="方正仿宋_GBK" w:hAnsi="方正仿宋_GBK" w:eastAsia="方正仿宋_GBK" w:cs="方正仿宋_GBK"/>
          <w:sz w:val="32"/>
          <w:szCs w:val="32"/>
          <w:highlight w:val="none"/>
          <w:shd w:val="clear" w:color="auto" w:fill="FFFFFF"/>
        </w:rPr>
        <w:t>对部门整体（如有）和</w:t>
      </w:r>
      <w:r>
        <w:rPr>
          <w:rFonts w:hint="eastAsia" w:ascii="方正仿宋_GBK" w:hAnsi="方正仿宋_GBK" w:eastAsia="方正仿宋_GBK" w:cs="方正仿宋_GBK"/>
          <w:sz w:val="32"/>
          <w:szCs w:val="32"/>
          <w:highlight w:val="none"/>
          <w:shd w:val="clear" w:color="auto" w:fill="FFFFFF"/>
          <w:lang w:val="en-US" w:eastAsia="zh-CN"/>
        </w:rPr>
        <w:t>2</w:t>
      </w:r>
      <w:r>
        <w:rPr>
          <w:rFonts w:hint="eastAsia" w:ascii="方正仿宋_GBK" w:hAnsi="方正仿宋_GBK" w:eastAsia="方正仿宋_GBK" w:cs="方正仿宋_GBK"/>
          <w:sz w:val="32"/>
          <w:szCs w:val="32"/>
          <w:highlight w:val="none"/>
          <w:shd w:val="clear" w:color="auto" w:fill="FFFFFF"/>
        </w:rPr>
        <w:t>个</w:t>
      </w:r>
      <w:r>
        <w:rPr>
          <w:rFonts w:hint="eastAsia" w:ascii="方正仿宋_GBK" w:hAnsi="方正仿宋_GBK" w:eastAsia="方正仿宋_GBK" w:cs="方正仿宋_GBK"/>
          <w:sz w:val="32"/>
          <w:szCs w:val="32"/>
          <w:highlight w:val="none"/>
          <w:shd w:val="clear" w:color="auto" w:fill="FFFFFF"/>
          <w:lang w:val="en-US" w:eastAsia="zh-CN"/>
        </w:rPr>
        <w:t>二</w:t>
      </w:r>
      <w:r>
        <w:rPr>
          <w:rFonts w:hint="eastAsia" w:ascii="方正仿宋_GBK" w:hAnsi="方正仿宋_GBK" w:eastAsia="方正仿宋_GBK" w:cs="方正仿宋_GBK"/>
          <w:sz w:val="32"/>
          <w:szCs w:val="32"/>
          <w:highlight w:val="none"/>
          <w:shd w:val="clear" w:color="auto" w:fill="FFFFFF"/>
        </w:rPr>
        <w:t>级项目开展了绩效自评，涉及财政拨款项目支出资金</w:t>
      </w:r>
      <w:r>
        <w:rPr>
          <w:rFonts w:hint="eastAsia" w:ascii="方正仿宋_GBK" w:hAnsi="方正仿宋_GBK" w:eastAsia="方正仿宋_GBK" w:cs="方正仿宋_GBK"/>
          <w:sz w:val="32"/>
          <w:szCs w:val="32"/>
          <w:highlight w:val="none"/>
          <w:shd w:val="clear" w:color="auto" w:fill="FFFFFF"/>
          <w:lang w:val="en-US" w:eastAsia="zh-CN"/>
        </w:rPr>
        <w:t>19</w:t>
      </w:r>
      <w:r>
        <w:rPr>
          <w:rFonts w:hint="eastAsia" w:ascii="方正仿宋_GBK" w:hAnsi="方正仿宋_GBK" w:eastAsia="方正仿宋_GBK" w:cs="方正仿宋_GBK"/>
          <w:sz w:val="32"/>
          <w:szCs w:val="32"/>
          <w:highlight w:val="none"/>
          <w:shd w:val="clear" w:color="auto" w:fill="FFFFFF"/>
        </w:rPr>
        <w:t>万元</w:t>
      </w:r>
      <w:r>
        <w:rPr>
          <w:rFonts w:hint="eastAsia" w:ascii="方正仿宋_GBK" w:hAnsi="方正仿宋_GBK" w:eastAsia="方正仿宋_GBK" w:cs="方正仿宋_GBK"/>
          <w:sz w:val="32"/>
          <w:szCs w:val="32"/>
          <w:highlight w:val="none"/>
          <w:shd w:val="clear" w:color="auto" w:fill="FFFFFF"/>
          <w:lang w:eastAsia="zh-CN"/>
        </w:rPr>
        <w:t>。</w:t>
      </w:r>
    </w:p>
    <w:p>
      <w:pPr>
        <w:pStyle w:val="12"/>
        <w:keepNext w:val="0"/>
        <w:keepLines w:val="0"/>
        <w:pageBreakBefore w:val="0"/>
        <w:shd w:val="clear"/>
        <w:kinsoku/>
        <w:wordWrap/>
        <w:overflowPunct/>
        <w:topLinePunct w:val="0"/>
        <w:autoSpaceDE w:val="0"/>
        <w:autoSpaceDN/>
        <w:bidi w:val="0"/>
        <w:adjustRightInd w:val="0"/>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highlight w:val="none"/>
          <w:shd w:val="clear" w:color="auto" w:fill="FFFFFF"/>
          <w:lang w:eastAsia="zh-CN"/>
        </w:rPr>
        <w:sectPr>
          <w:headerReference r:id="rId3" w:type="default"/>
          <w:footerReference r:id="rId4" w:type="default"/>
          <w:pgSz w:w="11907" w:h="16839"/>
          <w:pgMar w:top="2098" w:right="1474" w:bottom="1474" w:left="1587" w:header="0" w:footer="283" w:gutter="0"/>
          <w:pgNumType w:fmt="numberInDash"/>
          <w:cols w:space="720" w:num="1"/>
          <w:docGrid w:type="lines" w:linePitch="326" w:charSpace="0"/>
        </w:sectPr>
      </w:pPr>
    </w:p>
    <w:p>
      <w:pPr>
        <w:pStyle w:val="12"/>
        <w:keepNext w:val="0"/>
        <w:keepLines w:val="0"/>
        <w:pageBreakBefore w:val="0"/>
        <w:shd w:val="clear"/>
        <w:kinsoku/>
        <w:wordWrap/>
        <w:overflowPunct/>
        <w:topLinePunct w:val="0"/>
        <w:autoSpaceDE w:val="0"/>
        <w:autoSpaceDN/>
        <w:bidi w:val="0"/>
        <w:adjustRightInd w:val="0"/>
        <w:snapToGrid w:val="0"/>
        <w:spacing w:before="0" w:beforeAutospacing="0" w:after="0" w:afterAutospacing="0" w:line="600" w:lineRule="exact"/>
        <w:textAlignment w:val="auto"/>
        <w:rPr>
          <w:rFonts w:hint="eastAsia" w:ascii="方正仿宋_GBK" w:hAnsi="方正仿宋_GBK" w:eastAsia="方正仿宋_GBK" w:cs="方正仿宋_GBK"/>
          <w:sz w:val="32"/>
          <w:szCs w:val="32"/>
          <w:highlight w:val="none"/>
          <w:shd w:val="clear" w:color="auto" w:fill="FFFFFF"/>
          <w:lang w:eastAsia="zh-CN"/>
        </w:rPr>
      </w:pPr>
      <w:r>
        <w:rPr>
          <w:rFonts w:hint="eastAsia" w:ascii="方正仿宋_GBK" w:hAnsi="方正仿宋_GBK" w:eastAsia="方正仿宋_GBK" w:cs="方正仿宋_GBK"/>
          <w:sz w:val="32"/>
          <w:szCs w:val="32"/>
          <w:highlight w:val="none"/>
          <w:shd w:val="clear" w:color="auto" w:fill="FFFFFF"/>
          <w:lang w:eastAsia="zh-CN"/>
        </w:rPr>
        <w:drawing>
          <wp:anchor distT="0" distB="0" distL="114300" distR="114300" simplePos="0" relativeHeight="251662336" behindDoc="0" locked="0" layoutInCell="1" allowOverlap="1">
            <wp:simplePos x="0" y="0"/>
            <wp:positionH relativeFrom="column">
              <wp:posOffset>428625</wp:posOffset>
            </wp:positionH>
            <wp:positionV relativeFrom="paragraph">
              <wp:posOffset>180975</wp:posOffset>
            </wp:positionV>
            <wp:extent cx="7620635" cy="5610860"/>
            <wp:effectExtent l="0" t="0" r="18415" b="8890"/>
            <wp:wrapTopAndBottom/>
            <wp:docPr id="5" name="图片 5" descr="026001-重庆巫溪工业园区管理委员会（本级）_50023800023P000075-重庆巫溪工业园区管理委员会整体自评绩效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26001-重庆巫溪工业园区管理委员会（本级）_50023800023P000075-重庆巫溪工业园区管理委员会整体自评绩效自评表"/>
                    <pic:cNvPicPr>
                      <a:picLocks noChangeAspect="1"/>
                    </pic:cNvPicPr>
                  </pic:nvPicPr>
                  <pic:blipFill>
                    <a:blip r:embed="rId8"/>
                    <a:stretch>
                      <a:fillRect/>
                    </a:stretch>
                  </pic:blipFill>
                  <pic:spPr>
                    <a:xfrm>
                      <a:off x="0" y="0"/>
                      <a:ext cx="7620635" cy="5610860"/>
                    </a:xfrm>
                    <a:prstGeom prst="rect">
                      <a:avLst/>
                    </a:prstGeom>
                  </pic:spPr>
                </pic:pic>
              </a:graphicData>
            </a:graphic>
          </wp:anchor>
        </w:drawing>
      </w:r>
    </w:p>
    <w:p>
      <w:pPr>
        <w:pStyle w:val="12"/>
        <w:keepNext w:val="0"/>
        <w:keepLines w:val="0"/>
        <w:pageBreakBefore w:val="0"/>
        <w:shd w:val="clear"/>
        <w:kinsoku/>
        <w:wordWrap/>
        <w:overflowPunct/>
        <w:topLinePunct w:val="0"/>
        <w:autoSpaceDE w:val="0"/>
        <w:autoSpaceDN/>
        <w:bidi w:val="0"/>
        <w:adjustRightInd w:val="0"/>
        <w:snapToGrid w:val="0"/>
        <w:spacing w:before="0" w:beforeAutospacing="0" w:after="0" w:afterAutospacing="0" w:line="600" w:lineRule="exact"/>
        <w:textAlignment w:val="auto"/>
        <w:rPr>
          <w:rFonts w:hint="eastAsia" w:ascii="楷体" w:hAnsi="楷体" w:eastAsia="楷体" w:cs="楷体"/>
          <w:b/>
          <w:bCs/>
          <w:sz w:val="32"/>
          <w:szCs w:val="32"/>
          <w:highlight w:val="none"/>
          <w:shd w:val="clear" w:color="auto" w:fill="FFFFFF"/>
        </w:rPr>
        <w:sectPr>
          <w:pgSz w:w="16839" w:h="11907" w:orient="landscape"/>
          <w:pgMar w:top="1587" w:right="2098" w:bottom="1474" w:left="1474" w:header="0" w:footer="283" w:gutter="0"/>
          <w:pgNumType w:fmt="numberInDash"/>
          <w:cols w:space="720" w:num="1"/>
          <w:docGrid w:type="lines" w:linePitch="326" w:charSpace="0"/>
        </w:sectPr>
      </w:pPr>
      <w:r>
        <w:rPr>
          <w:rFonts w:hint="eastAsia" w:ascii="方正仿宋_GBK" w:hAnsi="方正仿宋_GBK" w:eastAsia="方正仿宋_GBK" w:cs="方正仿宋_GBK"/>
          <w:sz w:val="32"/>
          <w:szCs w:val="32"/>
          <w:highlight w:val="none"/>
          <w:shd w:val="clear" w:color="auto" w:fill="FFFFFF"/>
          <w:lang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201930</wp:posOffset>
            </wp:positionV>
            <wp:extent cx="8408670" cy="5130800"/>
            <wp:effectExtent l="0" t="0" r="11430" b="12700"/>
            <wp:wrapTopAndBottom/>
            <wp:docPr id="6" name="图片 6" descr="026001-重庆巫溪工业园区管理委员会（本级）_50023823T000003438990-招商引资工作费用绩效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26001-重庆巫溪工业园区管理委员会（本级）_50023823T000003438990-招商引资工作费用绩效自评表"/>
                    <pic:cNvPicPr>
                      <a:picLocks noChangeAspect="1"/>
                    </pic:cNvPicPr>
                  </pic:nvPicPr>
                  <pic:blipFill>
                    <a:blip r:embed="rId9"/>
                    <a:stretch>
                      <a:fillRect/>
                    </a:stretch>
                  </pic:blipFill>
                  <pic:spPr>
                    <a:xfrm>
                      <a:off x="0" y="0"/>
                      <a:ext cx="8408670" cy="513080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部门绩效评价情况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我部门未组织开展绩效评价</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财政局未委托第三方对我部门开展绩效评价。</w:t>
      </w:r>
    </w:p>
    <w:p>
      <w:pPr>
        <w:pStyle w:val="6"/>
        <w:keepNext w:val="0"/>
        <w:keepLines w:val="0"/>
        <w:pageBreakBefore w:val="0"/>
        <w:shd w:val="clear" w:color="auto"/>
        <w:kinsoku/>
        <w:wordWrap/>
        <w:overflowPunct/>
        <w:topLinePunct w:val="0"/>
        <w:autoSpaceDN/>
        <w:bidi w:val="0"/>
        <w:adjustRightInd w:val="0"/>
        <w:snapToGrid w:val="0"/>
        <w:spacing w:beforeAutospacing="0" w:after="0" w:afterAutospacing="0" w:line="600" w:lineRule="exact"/>
        <w:ind w:left="0" w:firstLine="640" w:firstLineChars="200"/>
        <w:textAlignment w:val="auto"/>
        <w:rPr>
          <w:rStyle w:val="10"/>
          <w:rFonts w:hint="eastAsia" w:ascii="方正黑体_GBK" w:hAnsi="方正黑体_GBK" w:eastAsia="方正黑体_GBK" w:cs="方正黑体_GBK"/>
          <w:b w:val="0"/>
          <w:bCs/>
          <w:sz w:val="32"/>
          <w:szCs w:val="32"/>
          <w:highlight w:val="none"/>
          <w:shd w:val="clear" w:color="auto" w:fill="FFFFFF"/>
        </w:rPr>
      </w:pPr>
      <w:r>
        <w:rPr>
          <w:rStyle w:val="10"/>
          <w:rFonts w:hint="eastAsia" w:ascii="方正黑体_GBK" w:hAnsi="方正黑体_GBK" w:eastAsia="方正黑体_GBK" w:cs="方正黑体_GBK"/>
          <w:b w:val="0"/>
          <w:bCs/>
          <w:sz w:val="32"/>
          <w:szCs w:val="32"/>
          <w:highlight w:val="none"/>
          <w:shd w:val="clear" w:color="auto" w:fill="FFFFFF"/>
        </w:rPr>
        <w:t>六、专业名词解释</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Fonts w:hint="eastAsia" w:ascii="方正楷体_GBK" w:hAnsi="方正楷体_GBK" w:eastAsia="方正楷体_GBK" w:cs="方正楷体_GBK"/>
          <w:b w:val="0"/>
          <w:bCs w:val="0"/>
          <w:sz w:val="32"/>
          <w:szCs w:val="32"/>
          <w:highlight w:val="none"/>
          <w:shd w:val="clear" w:color="auto" w:fill="FFFFFF"/>
        </w:rPr>
        <w:t>（一）财政拨款收入：</w:t>
      </w:r>
      <w:r>
        <w:rPr>
          <w:rFonts w:ascii="方正仿宋_GBK" w:hAnsi="方正仿宋_GBK" w:eastAsia="方正仿宋_GBK" w:cs="方正仿宋_GBK"/>
          <w:sz w:val="32"/>
          <w:szCs w:val="32"/>
          <w:highlight w:val="none"/>
          <w:shd w:val="clear" w:color="auto" w:fill="FFFFFF"/>
        </w:rPr>
        <w:t>指本年度从本级财政部门取得的财政拨款，包括一般公共预算财政拨款和政府性基金预算财政拨款。</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（二）事业收入：</w:t>
      </w:r>
      <w:r>
        <w:rPr>
          <w:rFonts w:ascii="方正仿宋_GBK" w:hAnsi="方正仿宋_GBK" w:eastAsia="方正仿宋_GBK" w:cs="方正仿宋_GBK"/>
          <w:sz w:val="32"/>
          <w:szCs w:val="32"/>
          <w:highlight w:val="none"/>
          <w:shd w:val="clear" w:color="auto" w:fill="FFFFFF"/>
        </w:rPr>
        <w:t>指事业单位开展专业业务活动及其辅助活动取得的现金流入；事业单位收到的财政专户实际核拨</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的教育收费等资金在此反映。</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（三）经营收入</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指事业单位在专业业务活动及其辅助活动之外开展非独立核算经营活动取得的现金流入。</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（四）其他收入</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（五）使用非财政拨款结余</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指单位在当年的“财政拨款收入”、“事业收入”、“经营收入”、“其他收入”等不足以安排当年支出的情况下，使用以前年度积累的非财政拨款结余弥补</w:t>
      </w:r>
      <w:r>
        <w:rPr>
          <w:rFonts w:ascii="方正仿宋_GBK" w:hAnsi="方正仿宋_GBK" w:eastAsia="方正仿宋_GBK" w:cs="方正仿宋_GBK"/>
          <w:sz w:val="32"/>
          <w:szCs w:val="32"/>
          <w:highlight w:val="none"/>
          <w:shd w:val="clear" w:color="auto" w:fill="FFFFFF"/>
        </w:rPr>
        <w:br w:type="textWrapping"/>
      </w:r>
      <w:r>
        <w:rPr>
          <w:rFonts w:ascii="方正仿宋_GBK" w:hAnsi="方正仿宋_GBK" w:eastAsia="方正仿宋_GBK" w:cs="方正仿宋_GBK"/>
          <w:sz w:val="32"/>
          <w:szCs w:val="32"/>
          <w:highlight w:val="none"/>
          <w:shd w:val="clear" w:color="auto" w:fill="FFFFFF"/>
        </w:rPr>
        <w:t>本年度收支缺口的资金。</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（六）年初结转和结余</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指单位上年结转本年使用的基本支出结转、项目支出结转和结余、经营结余。</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（七）结余分配</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指单位按照国家有关规定，缴纳所得税、提取专用基金、转入非财政拨款结余等当年结余的分配情况。</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（八）年末结转和结余</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指单位结转下年的基本支出结转、项目支出结转和结余、经营结余。</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ascii="方正仿宋_GBK" w:hAnsi="方正仿宋_GBK" w:eastAsia="方正仿宋_GBK" w:cs="方正仿宋_GBK"/>
          <w:sz w:val="32"/>
          <w:szCs w:val="32"/>
          <w:highlight w:val="none"/>
          <w:shd w:val="clear" w:color="auto" w:fill="FFFFFF"/>
        </w:rPr>
      </w:pPr>
      <w:r>
        <w:rPr>
          <w:rStyle w:val="10"/>
          <w:rFonts w:hint="eastAsia" w:ascii="方正楷体_GBK" w:hAnsi="方正楷体_GBK" w:eastAsia="方正楷体_GBK" w:cs="方正楷体_GBK"/>
          <w:b w:val="0"/>
          <w:bCs/>
          <w:sz w:val="32"/>
          <w:szCs w:val="32"/>
          <w:highlight w:val="none"/>
          <w:shd w:val="clear" w:color="auto" w:fill="FFFFFF"/>
        </w:rPr>
        <w:t>（九）基本支出</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指为保障机构正常运转、完成日常工</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（十）项目支出</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指在基本支出之外为完成特定行政任务和事业发展目标所发生的支出。</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（十一）经营支出</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指事业单位在专业业务活动及其辅助活动之外开展非独立核算经营活动发生的支出。</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（十二）“三公”经费</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（十三）机关运行经费</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（十四）工资福利支出（支出经济分类科目类级）</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反映单位开支的在职职工和编制外长期聘用人员的各类劳动报酬，以及为上述人员缴纳的各项社会保险费等。</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（十五）商品和服务支出（支出经济分类科目类级）</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反映单位购买商品和服务的支出（不包括用于购置固定资产的支出、战略性和应急储备支出）。</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（十六）对个人和家庭的补助（支出经济分类科目类级）</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反映用于对个人和家庭的补助支出。</w:t>
      </w:r>
    </w:p>
    <w:p>
      <w:pPr>
        <w:pStyle w:val="6"/>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highlight w:val="none"/>
        </w:rPr>
      </w:pPr>
      <w:r>
        <w:rPr>
          <w:rStyle w:val="10"/>
          <w:rFonts w:hint="eastAsia" w:ascii="方正楷体_GBK" w:hAnsi="方正楷体_GBK" w:eastAsia="方正楷体_GBK" w:cs="方正楷体_GBK"/>
          <w:b w:val="0"/>
          <w:bCs/>
          <w:sz w:val="32"/>
          <w:szCs w:val="32"/>
          <w:highlight w:val="none"/>
          <w:shd w:val="clear" w:color="auto" w:fill="FFFFFF"/>
        </w:rPr>
        <w:t>（十七）其他资本性支出（支出经济分类科目类级）</w:t>
      </w:r>
      <w:r>
        <w:rPr>
          <w:rFonts w:hint="eastAsia" w:ascii="方正楷体_GBK" w:hAnsi="方正楷体_GBK" w:eastAsia="方正楷体_GBK" w:cs="方正楷体_GBK"/>
          <w:b w:val="0"/>
          <w:bCs/>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kinsoku/>
        <w:wordWrap/>
        <w:overflowPunct/>
        <w:topLinePunct w:val="0"/>
        <w:autoSpaceDN/>
        <w:bidi w:val="0"/>
        <w:adjustRightInd w:val="0"/>
        <w:snapToGrid w:val="0"/>
        <w:spacing w:beforeAutospacing="0" w:after="0" w:afterAutospacing="0" w:line="600" w:lineRule="exact"/>
        <w:ind w:left="0" w:firstLine="640" w:firstLineChars="200"/>
        <w:textAlignment w:val="auto"/>
        <w:rPr>
          <w:rStyle w:val="10"/>
          <w:rFonts w:hint="eastAsia" w:ascii="方正黑体_GBK" w:hAnsi="方正黑体_GBK" w:eastAsia="方正黑体_GBK" w:cs="方正黑体_GBK"/>
          <w:b w:val="0"/>
          <w:bCs/>
          <w:sz w:val="32"/>
          <w:szCs w:val="32"/>
          <w:highlight w:val="none"/>
          <w:shd w:val="clear" w:color="auto" w:fill="FFFFFF"/>
        </w:rPr>
      </w:pPr>
      <w:r>
        <w:rPr>
          <w:rStyle w:val="10"/>
          <w:rFonts w:hint="eastAsia" w:ascii="方正黑体_GBK" w:hAnsi="方正黑体_GBK" w:eastAsia="方正黑体_GBK" w:cs="方正黑体_GBK"/>
          <w:b w:val="0"/>
          <w:bCs/>
          <w:sz w:val="32"/>
          <w:szCs w:val="32"/>
          <w:highlight w:val="none"/>
          <w:shd w:val="clear" w:color="auto" w:fill="FFFFFF"/>
        </w:rPr>
        <w:t>七、决算公开联系方式及信息反馈渠道</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638" w:leftChars="266" w:firstLine="0" w:firstLineChars="0"/>
        <w:jc w:val="both"/>
        <w:textAlignment w:val="auto"/>
        <w:rPr>
          <w:rFonts w:ascii="方正仿宋_GBK" w:hAnsi="方正仿宋_GBK" w:eastAsia="方正仿宋_GBK" w:cs="方正仿宋_GBK"/>
          <w:color w:val="auto"/>
          <w:w w:val="99"/>
          <w:sz w:val="32"/>
          <w:szCs w:val="32"/>
          <w:highlight w:val="none"/>
          <w:shd w:val="clear" w:color="auto" w:fill="FFFFFF"/>
        </w:rPr>
      </w:pPr>
      <w:r>
        <w:rPr>
          <w:rFonts w:ascii="方正仿宋_GBK" w:hAnsi="方正仿宋_GBK" w:eastAsia="方正仿宋_GBK" w:cs="方正仿宋_GBK"/>
          <w:w w:val="99"/>
          <w:sz w:val="32"/>
          <w:szCs w:val="32"/>
          <w:highlight w:val="none"/>
          <w:shd w:val="clear" w:color="auto" w:fill="FFFFFF"/>
        </w:rPr>
        <w:t>本单位决算公开信息反馈和联系方式：</w:t>
      </w:r>
      <w:r>
        <w:rPr>
          <w:rFonts w:hint="eastAsia" w:ascii="方正仿宋_GBK" w:hAnsi="方正仿宋_GBK" w:eastAsia="方正仿宋_GBK" w:cs="方正仿宋_GBK"/>
          <w:w w:val="99"/>
          <w:sz w:val="32"/>
          <w:szCs w:val="32"/>
          <w:highlight w:val="none"/>
          <w:shd w:val="clear" w:color="auto" w:fill="FFFFFF"/>
          <w:lang w:val="en-US" w:eastAsia="zh-CN"/>
        </w:rPr>
        <w:t>夏雪燕</w:t>
      </w:r>
      <w:r>
        <w:rPr>
          <w:rFonts w:ascii="方正仿宋_GBK" w:hAnsi="方正仿宋_GBK" w:eastAsia="方正仿宋_GBK" w:cs="方正仿宋_GBK"/>
          <w:color w:val="auto"/>
          <w:w w:val="99"/>
          <w:sz w:val="32"/>
          <w:szCs w:val="32"/>
          <w:highlight w:val="none"/>
          <w:shd w:val="clear" w:color="auto" w:fill="FFFFFF"/>
        </w:rPr>
        <w:t>023-</w:t>
      </w:r>
      <w:r>
        <w:rPr>
          <w:rFonts w:hint="eastAsia" w:ascii="方正仿宋_GBK" w:hAnsi="方正仿宋_GBK" w:eastAsia="方正仿宋_GBK" w:cs="方正仿宋_GBK"/>
          <w:color w:val="auto"/>
          <w:w w:val="99"/>
          <w:sz w:val="32"/>
          <w:szCs w:val="32"/>
          <w:highlight w:val="none"/>
          <w:shd w:val="clear" w:color="auto" w:fill="FFFFFF"/>
          <w:lang w:val="en-US" w:eastAsia="zh-CN"/>
        </w:rPr>
        <w:t>51531063</w:t>
      </w: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638" w:leftChars="266" w:firstLine="0" w:firstLineChars="0"/>
        <w:jc w:val="both"/>
        <w:textAlignment w:val="auto"/>
        <w:rPr>
          <w:rFonts w:ascii="方正仿宋_GBK" w:hAnsi="方正仿宋_GBK" w:eastAsia="方正仿宋_GBK" w:cs="方正仿宋_GBK"/>
          <w:color w:val="auto"/>
          <w:sz w:val="32"/>
          <w:szCs w:val="32"/>
          <w:highlight w:val="none"/>
          <w:shd w:val="clear" w:color="auto" w:fill="FFFFFF"/>
        </w:rPr>
      </w:pPr>
    </w:p>
    <w:p>
      <w:pPr>
        <w:pStyle w:val="6"/>
        <w:keepNext w:val="0"/>
        <w:keepLines w:val="0"/>
        <w:pageBreakBefore w:val="0"/>
        <w:shd w:val="clear"/>
        <w:kinsoku/>
        <w:wordWrap/>
        <w:overflowPunct/>
        <w:topLinePunct w:val="0"/>
        <w:autoSpaceDN/>
        <w:bidi w:val="0"/>
        <w:adjustRightInd w:val="0"/>
        <w:snapToGrid w:val="0"/>
        <w:spacing w:before="0" w:beforeAutospacing="0" w:after="0" w:afterAutospacing="0" w:line="600" w:lineRule="exact"/>
        <w:ind w:left="319" w:leftChars="133" w:firstLine="320" w:firstLineChars="100"/>
        <w:jc w:val="both"/>
        <w:textAlignment w:val="auto"/>
        <w:rPr>
          <w:rFonts w:ascii="方正仿宋_GBK" w:hAnsi="方正仿宋_GBK" w:eastAsia="方正仿宋_GBK" w:cs="方正仿宋_GBK"/>
          <w:color w:val="auto"/>
          <w:sz w:val="32"/>
          <w:szCs w:val="32"/>
          <w:highlight w:val="none"/>
          <w:shd w:val="clear" w:color="auto" w:fill="FFFFFF"/>
        </w:rPr>
      </w:pPr>
    </w:p>
    <w:p>
      <w:pPr>
        <w:pStyle w:val="6"/>
        <w:keepNext w:val="0"/>
        <w:keepLines w:val="0"/>
        <w:pageBreakBefore w:val="0"/>
        <w:shd w:val="clear"/>
        <w:kinsoku/>
        <w:overflowPunct/>
        <w:topLinePunct w:val="0"/>
        <w:autoSpaceDN/>
        <w:bidi w:val="0"/>
        <w:adjustRightInd w:val="0"/>
        <w:snapToGrid w:val="0"/>
        <w:spacing w:before="0" w:beforeAutospacing="0" w:after="0" w:afterAutospacing="0" w:line="600" w:lineRule="exact"/>
        <w:ind w:left="319" w:leftChars="133" w:firstLine="320" w:firstLineChars="100"/>
        <w:jc w:val="both"/>
        <w:rPr>
          <w:rFonts w:ascii="方正仿宋_GBK" w:hAnsi="方正仿宋_GBK" w:eastAsia="方正仿宋_GBK" w:cs="方正仿宋_GBK"/>
          <w:color w:val="auto"/>
          <w:sz w:val="32"/>
          <w:szCs w:val="32"/>
          <w:highlight w:val="none"/>
          <w:shd w:val="clear" w:color="auto" w:fill="FFFFFF"/>
        </w:rPr>
      </w:pPr>
    </w:p>
    <w:p>
      <w:pPr>
        <w:pStyle w:val="6"/>
        <w:keepNext w:val="0"/>
        <w:keepLines w:val="0"/>
        <w:pageBreakBefore w:val="0"/>
        <w:shd w:val="clear"/>
        <w:kinsoku/>
        <w:overflowPunct/>
        <w:topLinePunct w:val="0"/>
        <w:autoSpaceDN/>
        <w:bidi w:val="0"/>
        <w:adjustRightInd w:val="0"/>
        <w:snapToGrid w:val="0"/>
        <w:spacing w:before="0" w:beforeAutospacing="0" w:after="0" w:afterAutospacing="0" w:line="600" w:lineRule="exact"/>
        <w:ind w:left="319" w:leftChars="133" w:firstLine="320" w:firstLineChars="100"/>
        <w:jc w:val="both"/>
        <w:rPr>
          <w:rFonts w:ascii="方正仿宋_GBK" w:hAnsi="方正仿宋_GBK" w:eastAsia="方正仿宋_GBK" w:cs="方正仿宋_GBK"/>
          <w:color w:val="auto"/>
          <w:sz w:val="32"/>
          <w:szCs w:val="32"/>
          <w:highlight w:val="none"/>
          <w:shd w:val="clear" w:color="auto" w:fill="FFFFFF"/>
        </w:rPr>
        <w:sectPr>
          <w:pgSz w:w="11907" w:h="16839"/>
          <w:pgMar w:top="2098" w:right="1474" w:bottom="1474" w:left="1587" w:header="0" w:footer="283" w:gutter="0"/>
          <w:pgNumType w:fmt="numberInDash"/>
          <w:cols w:space="720" w:num="1"/>
          <w:docGrid w:type="lines" w:linePitch="326" w:charSpace="0"/>
        </w:sectPr>
      </w:pPr>
    </w:p>
    <w:p>
      <w:pPr>
        <w:rPr>
          <w:rFonts w:hint="default" w:cs="宋体"/>
          <w:sz w:val="21"/>
          <w:szCs w:val="21"/>
        </w:rPr>
      </w:pPr>
    </w:p>
    <w:tbl>
      <w:tblPr>
        <w:tblStyle w:val="7"/>
        <w:tblW w:w="4692" w:type="pct"/>
        <w:tblInd w:w="0" w:type="dxa"/>
        <w:tblLayout w:type="autofit"/>
        <w:tblCellMar>
          <w:top w:w="0" w:type="dxa"/>
          <w:left w:w="0" w:type="dxa"/>
          <w:bottom w:w="0" w:type="dxa"/>
          <w:right w:w="0" w:type="dxa"/>
        </w:tblCellMar>
      </w:tblPr>
      <w:tblGrid>
        <w:gridCol w:w="5120"/>
        <w:gridCol w:w="2020"/>
        <w:gridCol w:w="4808"/>
        <w:gridCol w:w="248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77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99"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66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85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47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重庆市巫溪县工业园区管理委员会</w:t>
            </w:r>
          </w:p>
        </w:tc>
        <w:tc>
          <w:tcPr>
            <w:tcW w:w="166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85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47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25"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8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370.08</w:t>
            </w:r>
            <w:r>
              <w:rPr>
                <w:color w:val="000000"/>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272.26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99"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54.12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370.08</w:t>
            </w:r>
            <w:r>
              <w:rPr>
                <w:color w:val="000000"/>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370.08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85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370.08</w:t>
            </w:r>
            <w:r>
              <w:rPr>
                <w:color w:val="000000"/>
                <w:sz w:val="20"/>
                <w:u w:color="auto"/>
              </w:rPr>
              <w:t xml:space="preserve"> </w:t>
            </w:r>
          </w:p>
        </w:tc>
        <w:tc>
          <w:tcPr>
            <w:tcW w:w="1666"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8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370.08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765"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999"/>
        <w:gridCol w:w="1125"/>
        <w:gridCol w:w="13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208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重庆市巫溪县工业园区管理委员会</w:t>
            </w: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208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662"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6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80"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8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6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370.08</w:t>
            </w:r>
            <w:r>
              <w:rPr>
                <w:b/>
                <w:color w:val="000000"/>
                <w:sz w:val="20"/>
                <w:u w:color="auto"/>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370.08</w:t>
            </w:r>
            <w:r>
              <w:rPr>
                <w:b/>
                <w:color w:val="000000"/>
                <w:sz w:val="20"/>
                <w:u w:color="auto"/>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272.26</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272.26</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263.26</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263.26</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173.03</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173.03</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90.23</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90.23</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54.12</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54.12</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54.12</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54.12</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26.56</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26.56</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20.27</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20.27</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21.19</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21.19</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21.19</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21.19</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4639" w:type="pct"/>
        <w:tblInd w:w="0" w:type="dxa"/>
        <w:tblLayout w:type="autofit"/>
        <w:tblCellMar>
          <w:top w:w="0" w:type="dxa"/>
          <w:left w:w="0" w:type="dxa"/>
          <w:bottom w:w="0" w:type="dxa"/>
          <w:right w:w="0" w:type="dxa"/>
        </w:tblCellMar>
      </w:tblPr>
      <w:tblGrid>
        <w:gridCol w:w="1794"/>
        <w:gridCol w:w="3353"/>
        <w:gridCol w:w="1701"/>
        <w:gridCol w:w="1701"/>
        <w:gridCol w:w="1701"/>
        <w:gridCol w:w="1407"/>
        <w:gridCol w:w="1187"/>
        <w:gridCol w:w="142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40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重庆市巫溪县工业园区管理委员会</w:t>
            </w:r>
          </w:p>
        </w:tc>
        <w:tc>
          <w:tcPr>
            <w:tcW w:w="5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40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80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62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2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2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2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80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370.08</w:t>
            </w:r>
            <w:r>
              <w:rPr>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351.08</w:t>
            </w:r>
            <w:r>
              <w:rPr>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19.00</w:t>
            </w:r>
            <w:r>
              <w:rPr>
                <w:b/>
                <w:color w:val="000000"/>
                <w:sz w:val="20"/>
                <w:u w:color="auto"/>
              </w:rPr>
              <w:t xml:space="preserve"> </w:t>
            </w:r>
          </w:p>
        </w:tc>
        <w:tc>
          <w:tcPr>
            <w:tcW w:w="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272.26</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263.26</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263.26</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263.26</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173.03</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173.03</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90.23</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90.23</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26.56</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26.56</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20.27</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20.27</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9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21.19</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21.19</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21.19</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21.19</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692" w:type="pct"/>
        <w:tblInd w:w="0" w:type="dxa"/>
        <w:tblLayout w:type="autofit"/>
        <w:tblCellMar>
          <w:top w:w="0" w:type="dxa"/>
          <w:left w:w="0" w:type="dxa"/>
          <w:bottom w:w="0" w:type="dxa"/>
          <w:right w:w="0" w:type="dxa"/>
        </w:tblCellMar>
      </w:tblPr>
      <w:tblGrid>
        <w:gridCol w:w="2979"/>
        <w:gridCol w:w="1524"/>
        <w:gridCol w:w="3192"/>
        <w:gridCol w:w="1700"/>
        <w:gridCol w:w="1700"/>
        <w:gridCol w:w="1700"/>
        <w:gridCol w:w="16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66"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重庆市巫溪县工业园区管理委员会</w:t>
            </w:r>
          </w:p>
        </w:tc>
        <w:tc>
          <w:tcPr>
            <w:tcW w:w="58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6"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66"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6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39"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3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1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3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8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8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56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370.08</w:t>
            </w:r>
            <w:r>
              <w:rPr>
                <w:color w:val="000000"/>
                <w:sz w:val="18"/>
                <w:u w:color="auto"/>
              </w:rPr>
              <w:t xml:space="preserve"> </w:t>
            </w: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272.26</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272.26</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54.12</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54.12</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12.52</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12.52</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21.19</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21.19</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370.08</w:t>
            </w:r>
            <w:r>
              <w:rPr>
                <w:color w:val="000000"/>
                <w:sz w:val="18"/>
                <w:u w:color="auto"/>
              </w:rPr>
              <w:t xml:space="preserve"> </w:t>
            </w: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370.08</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370.08</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05"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370.08</w:t>
            </w:r>
            <w:r>
              <w:rPr>
                <w:color w:val="000000"/>
                <w:sz w:val="18"/>
                <w:u w:color="auto"/>
              </w:rPr>
              <w:t xml:space="preserve"> </w:t>
            </w:r>
          </w:p>
        </w:tc>
        <w:tc>
          <w:tcPr>
            <w:tcW w:w="11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370.08</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370.08</w:t>
            </w:r>
            <w:r>
              <w:rPr>
                <w:color w:val="000000"/>
                <w:sz w:val="18"/>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598" w:type="pct"/>
        <w:tblInd w:w="0" w:type="dxa"/>
        <w:tblLayout w:type="autofit"/>
        <w:tblCellMar>
          <w:top w:w="0" w:type="dxa"/>
          <w:left w:w="0" w:type="dxa"/>
          <w:bottom w:w="0" w:type="dxa"/>
          <w:right w:w="0" w:type="dxa"/>
        </w:tblCellMar>
      </w:tblPr>
      <w:tblGrid>
        <w:gridCol w:w="1852"/>
        <w:gridCol w:w="3550"/>
        <w:gridCol w:w="3321"/>
        <w:gridCol w:w="3315"/>
        <w:gridCol w:w="210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3084"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重庆市巫溪县工业园区管理委员会</w:t>
            </w:r>
          </w:p>
        </w:tc>
        <w:tc>
          <w:tcPr>
            <w:tcW w:w="11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4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308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4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91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089"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5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7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7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74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5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4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5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4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283" w:hRule="exact"/>
        </w:trPr>
        <w:tc>
          <w:tcPr>
            <w:tcW w:w="1910"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370.08</w:t>
            </w:r>
            <w:r>
              <w:rPr>
                <w:b/>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351.08</w:t>
            </w:r>
            <w:r>
              <w:rPr>
                <w:b/>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19.00</w:t>
            </w:r>
            <w:r>
              <w:rPr>
                <w:b/>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272.26</w:t>
            </w:r>
            <w:r>
              <w:rPr>
                <w:b/>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263.26</w:t>
            </w:r>
            <w:r>
              <w:rPr>
                <w:b/>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263.26</w:t>
            </w:r>
            <w:r>
              <w:rPr>
                <w:b/>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263.26</w:t>
            </w:r>
            <w:r>
              <w:rPr>
                <w:b/>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173.03</w:t>
            </w:r>
            <w:r>
              <w:rPr>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173.03</w:t>
            </w: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90.23</w:t>
            </w:r>
            <w:r>
              <w:rPr>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90.23</w:t>
            </w: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54.12</w:t>
            </w:r>
            <w:r>
              <w:rPr>
                <w:b/>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54.12</w:t>
            </w:r>
            <w:r>
              <w:rPr>
                <w:b/>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54.12</w:t>
            </w:r>
            <w:r>
              <w:rPr>
                <w:b/>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54.12</w:t>
            </w:r>
            <w:r>
              <w:rPr>
                <w:b/>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7.29</w:t>
            </w:r>
            <w:r>
              <w:rPr>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7.29</w:t>
            </w: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26.56</w:t>
            </w:r>
            <w:r>
              <w:rPr>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26.56</w:t>
            </w: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20.27</w:t>
            </w:r>
            <w:r>
              <w:rPr>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20.27</w:t>
            </w: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12.52</w:t>
            </w:r>
            <w:r>
              <w:rPr>
                <w:b/>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12.52</w:t>
            </w:r>
            <w:r>
              <w:rPr>
                <w:b/>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12.52</w:t>
            </w:r>
            <w:r>
              <w:rPr>
                <w:b/>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12.52</w:t>
            </w:r>
            <w:r>
              <w:rPr>
                <w:b/>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8.47</w:t>
            </w:r>
            <w:r>
              <w:rPr>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8.47</w:t>
            </w: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4.05</w:t>
            </w:r>
            <w:r>
              <w:rPr>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4.05</w:t>
            </w: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21.19</w:t>
            </w:r>
            <w:r>
              <w:rPr>
                <w:b/>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21.19</w:t>
            </w:r>
            <w:r>
              <w:rPr>
                <w:b/>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21.19</w:t>
            </w:r>
            <w:r>
              <w:rPr>
                <w:b/>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21.19</w:t>
            </w:r>
            <w:r>
              <w:rPr>
                <w:b/>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6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21.19</w:t>
            </w:r>
            <w:r>
              <w:rPr>
                <w:color w:val="000000"/>
                <w:sz w:val="20"/>
                <w:u w:color="auto"/>
              </w:rPr>
              <w:t xml:space="preserve"> </w:t>
            </w: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21.19</w:t>
            </w:r>
            <w:r>
              <w:rPr>
                <w:color w:val="000000"/>
                <w:sz w:val="20"/>
                <w:u w:color="auto"/>
              </w:rPr>
              <w:t xml:space="preserve"> </w:t>
            </w:r>
          </w:p>
        </w:tc>
        <w:tc>
          <w:tcPr>
            <w:tcW w:w="7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838" w:type="pct"/>
        <w:tblInd w:w="0" w:type="dxa"/>
        <w:tblLayout w:type="fixed"/>
        <w:tblCellMar>
          <w:top w:w="0" w:type="dxa"/>
          <w:left w:w="0" w:type="dxa"/>
          <w:bottom w:w="0" w:type="dxa"/>
          <w:right w:w="0" w:type="dxa"/>
        </w:tblCellMar>
      </w:tblPr>
      <w:tblGrid>
        <w:gridCol w:w="605"/>
        <w:gridCol w:w="2740"/>
        <w:gridCol w:w="1376"/>
        <w:gridCol w:w="836"/>
        <w:gridCol w:w="1923"/>
        <w:gridCol w:w="1273"/>
        <w:gridCol w:w="889"/>
        <w:gridCol w:w="3600"/>
        <w:gridCol w:w="163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67"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重庆市巫溪县工业园区管理委员会</w:t>
            </w:r>
          </w:p>
        </w:tc>
        <w:tc>
          <w:tcPr>
            <w:tcW w:w="64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9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0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67"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4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9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0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86"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1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0"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4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2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9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0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5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6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8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4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2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9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20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5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297.61</w:t>
            </w: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45.51</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73.54</w:t>
            </w: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9.80</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44.73</w:t>
            </w: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46.12</w:t>
            </w: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52.06</w:t>
            </w: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26.56</w:t>
            </w: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20.27</w:t>
            </w: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12.52</w:t>
            </w: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21.19</w:t>
            </w: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7.29</w:t>
            </w: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7.29</w:t>
            </w: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6.38</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9.03</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12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304.90</w:t>
            </w:r>
            <w:r>
              <w:rPr>
                <w:color w:val="000000"/>
                <w:sz w:val="18"/>
                <w:u w:color="auto"/>
              </w:rPr>
              <w:t xml:space="preserve"> </w:t>
            </w:r>
          </w:p>
        </w:tc>
        <w:tc>
          <w:tcPr>
            <w:tcW w:w="2863"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46.18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688" w:type="pct"/>
        <w:tblInd w:w="0" w:type="dxa"/>
        <w:tblLayout w:type="autofit"/>
        <w:tblCellMar>
          <w:top w:w="0" w:type="dxa"/>
          <w:left w:w="0" w:type="dxa"/>
          <w:bottom w:w="0" w:type="dxa"/>
          <w:right w:w="0" w:type="dxa"/>
        </w:tblCellMar>
      </w:tblPr>
      <w:tblGrid>
        <w:gridCol w:w="1842"/>
        <w:gridCol w:w="3085"/>
        <w:gridCol w:w="1707"/>
        <w:gridCol w:w="1696"/>
        <w:gridCol w:w="1696"/>
        <w:gridCol w:w="1399"/>
        <w:gridCol w:w="1321"/>
        <w:gridCol w:w="167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30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重庆市巫溪县工业园区管理委员会</w:t>
            </w:r>
          </w:p>
        </w:tc>
        <w:tc>
          <w:tcPr>
            <w:tcW w:w="58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30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70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91"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53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8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5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5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5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709"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4629" w:type="pct"/>
        <w:tblInd w:w="0" w:type="dxa"/>
        <w:tblLayout w:type="autofit"/>
        <w:tblCellMar>
          <w:top w:w="0" w:type="dxa"/>
          <w:left w:w="0" w:type="dxa"/>
          <w:bottom w:w="0" w:type="dxa"/>
          <w:right w:w="0" w:type="dxa"/>
        </w:tblCellMar>
      </w:tblPr>
      <w:tblGrid>
        <w:gridCol w:w="1879"/>
        <w:gridCol w:w="3061"/>
        <w:gridCol w:w="3275"/>
        <w:gridCol w:w="199"/>
        <w:gridCol w:w="3474"/>
        <w:gridCol w:w="77"/>
        <w:gridCol w:w="2272"/>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8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重庆市巫溪县工业园区管理委员会</w:t>
            </w:r>
          </w:p>
        </w:tc>
        <w:tc>
          <w:tcPr>
            <w:tcW w:w="1317"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8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7"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73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264"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60"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22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82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6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2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6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2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6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2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735"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82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650" w:type="pct"/>
        <w:tblInd w:w="0" w:type="dxa"/>
        <w:tblLayout w:type="fixed"/>
        <w:tblCellMar>
          <w:top w:w="0" w:type="dxa"/>
          <w:left w:w="170" w:type="dxa"/>
          <w:bottom w:w="0" w:type="dxa"/>
          <w:right w:w="170" w:type="dxa"/>
        </w:tblCellMar>
      </w:tblPr>
      <w:tblGrid>
        <w:gridCol w:w="4263"/>
        <w:gridCol w:w="1944"/>
        <w:gridCol w:w="2115"/>
        <w:gridCol w:w="4524"/>
        <w:gridCol w:w="1457"/>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490"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7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3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81"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5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1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重庆市巫溪县工业园区管理委员会</w:t>
            </w:r>
          </w:p>
        </w:tc>
        <w:tc>
          <w:tcPr>
            <w:tcW w:w="73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81"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50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67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3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5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46.18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4.64</w:t>
            </w:r>
            <w:r>
              <w:rPr>
                <w:color w:val="000000"/>
                <w:sz w:val="16"/>
                <w:u w:color="auto"/>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4.64</w:t>
            </w: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46.18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0.64</w:t>
            </w:r>
            <w:r>
              <w:rPr>
                <w:color w:val="000000"/>
                <w:sz w:val="16"/>
                <w:u w:color="auto"/>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0.64</w:t>
            </w: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0.64</w:t>
            </w: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8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w:t>
            </w: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17.04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17.04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75</w:t>
            </w: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17.04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9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17.04</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49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2.76</w:t>
            </w:r>
            <w:r>
              <w:rPr>
                <w:color w:val="000000"/>
                <w:sz w:val="16"/>
                <w:u w:color="auto"/>
              </w:rPr>
              <w:t xml:space="preserve"> </w:t>
            </w:r>
          </w:p>
        </w:tc>
        <w:tc>
          <w:tcPr>
            <w:tcW w:w="158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w:t>
      </w:r>
    </w:p>
    <w:p>
      <w:pPr>
        <w:rPr>
          <w:rFonts w:hint="eastAsia" w:ascii="方正仿宋_GBK" w:hAnsi="方正仿宋_GBK" w:eastAsia="方正仿宋_GBK" w:cs="方正仿宋_GBK"/>
          <w:color w:val="auto"/>
          <w:sz w:val="32"/>
          <w:szCs w:val="32"/>
          <w:highlight w:val="none"/>
          <w:shd w:val="clear" w:color="auto" w:fill="FFFFFF"/>
          <w:lang w:eastAsia="zh-CN"/>
        </w:rPr>
      </w:pPr>
      <w:r>
        <w:rPr>
          <w:rFonts w:cs="宋体"/>
          <w:sz w:val="20"/>
          <w:szCs w:val="20"/>
        </w:rPr>
        <w:t>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color w:val="000000" w:themeColor="text1"/>
                              <w:sz w:val="24"/>
                              <w:szCs w:val="24"/>
                              <w14:textFill>
                                <w14:solidFill>
                                  <w14:schemeClr w14:val="tx1"/>
                                </w14:solidFill>
                              </w14:textFill>
                            </w:rPr>
                            <w:instrText xml:space="preserve">PAGE   \* MERGEFORMAT</w:instrText>
                          </w:r>
                          <w:r>
                            <w:rPr>
                              <w:rFonts w:hint="eastAsia" w:ascii="方正仿宋_GBK" w:hAnsi="方正仿宋_GBK" w:eastAsia="方正仿宋_GBK" w:cs="方正仿宋_GBK"/>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30 -</w:t>
                          </w:r>
                          <w:r>
                            <w:rPr>
                              <w:rFonts w:hint="eastAsia" w:ascii="方正仿宋_GBK" w:hAnsi="方正仿宋_GBK" w:eastAsia="方正仿宋_GBK" w:cs="方正仿宋_GBK"/>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P2m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Rkljlsc0f71+/7t5/7HN3KZ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8+P2m4AQAAVAMAAA4AAAAAAAAAAQAgAAAAHwEAAGRycy9lMm9Eb2MueG1sUEsFBgAAAAAGAAYA&#10;WQEAAEkFAAAAAA==&#10;">
              <v:fill on="f" focussize="0,0"/>
              <v:stroke on="f" weight="0.5pt"/>
              <v:imagedata o:title=""/>
              <o:lock v:ext="edit" aspectratio="f"/>
              <v:textbox inset="0mm,0mm,0mm,0mm" style="mso-fit-shape-to-text:t;">
                <w:txbxContent>
                  <w:p>
                    <w:pPr>
                      <w:pStyle w:val="3"/>
                      <w:rPr>
                        <w:rFonts w:hint="default"/>
                      </w:rPr>
                    </w:pPr>
                    <w: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color w:val="000000" w:themeColor="text1"/>
                        <w:sz w:val="24"/>
                        <w:szCs w:val="24"/>
                        <w14:textFill>
                          <w14:solidFill>
                            <w14:schemeClr w14:val="tx1"/>
                          </w14:solidFill>
                        </w14:textFill>
                      </w:rPr>
                      <w:instrText xml:space="preserve">PAGE   \* MERGEFORMAT</w:instrText>
                    </w:r>
                    <w:r>
                      <w:rPr>
                        <w:rFonts w:hint="eastAsia" w:ascii="方正仿宋_GBK" w:hAnsi="方正仿宋_GBK" w:eastAsia="方正仿宋_GBK" w:cs="方正仿宋_GBK"/>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30 -</w:t>
                    </w:r>
                    <w:r>
                      <w:rPr>
                        <w:rFonts w:hint="eastAsia" w:ascii="方正仿宋_GBK" w:hAnsi="方正仿宋_GBK" w:eastAsia="方正仿宋_GBK" w:cs="方正仿宋_GBK"/>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PAGE   \* MERGEFORMAT</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lang w:val="zh-CN"/>
                            </w:rPr>
                            <w:t>-</w:t>
                          </w:r>
                          <w:r>
                            <w:rPr>
                              <w:rFonts w:hint="eastAsia" w:ascii="方正仿宋_GBK" w:hAnsi="方正仿宋_GBK" w:eastAsia="方正仿宋_GBK" w:cs="方正仿宋_GBK"/>
                              <w:sz w:val="24"/>
                              <w:szCs w:val="24"/>
                            </w:rPr>
                            <w:t xml:space="preserve"> 30 -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NjfWJu4AQAAVAMAAA4AAAAAAAAAAQAgAAAAHwEAAGRycy9lMm9Eb2MueG1sUEsFBgAAAAAGAAYA&#10;WQEAAEkFAAAAAA==&#10;">
              <v:fill on="f" focussize="0,0"/>
              <v:stroke on="f" weight="0.5pt"/>
              <v:imagedata o:title=""/>
              <o:lock v:ext="edit" aspectratio="f"/>
              <v:textbox inset="0mm,0mm,0mm,0mm" style="mso-fit-shape-to-text:t;">
                <w:txbxContent>
                  <w:p>
                    <w:pPr>
                      <w:pStyle w:val="3"/>
                      <w:rPr>
                        <w:rFonts w:hint="default"/>
                      </w:rPr>
                    </w:pPr>
                    <w: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PAGE   \* MERGEFORMAT</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lang w:val="zh-CN"/>
                      </w:rPr>
                      <w:t>-</w:t>
                    </w:r>
                    <w:r>
                      <w:rPr>
                        <w:rFonts w:hint="eastAsia" w:ascii="方正仿宋_GBK" w:hAnsi="方正仿宋_GBK" w:eastAsia="方正仿宋_GBK" w:cs="方正仿宋_GBK"/>
                        <w:sz w:val="24"/>
                        <w:szCs w:val="24"/>
                      </w:rPr>
                      <w:t xml:space="preserve"> 30 -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FL5pCAZAgAA&#10;Fg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jg5YmU5MGE1N2Q3MDRjMzk5ZTNmMGQ3YzJjNzMifQ=="/>
  </w:docVars>
  <w:rsids>
    <w:rsidRoot w:val="00B03CCD"/>
    <w:rsid w:val="001D3BB7"/>
    <w:rsid w:val="002B254B"/>
    <w:rsid w:val="00466C9B"/>
    <w:rsid w:val="004B25A9"/>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D34DCC"/>
    <w:rsid w:val="03E3214F"/>
    <w:rsid w:val="044C50BA"/>
    <w:rsid w:val="05BC6D49"/>
    <w:rsid w:val="06194FF1"/>
    <w:rsid w:val="06A2550B"/>
    <w:rsid w:val="06CF5C44"/>
    <w:rsid w:val="06F80EE2"/>
    <w:rsid w:val="07001CCA"/>
    <w:rsid w:val="075678DB"/>
    <w:rsid w:val="079D7CC7"/>
    <w:rsid w:val="08051BCA"/>
    <w:rsid w:val="086C12F4"/>
    <w:rsid w:val="08705944"/>
    <w:rsid w:val="08BA052C"/>
    <w:rsid w:val="08DB07BA"/>
    <w:rsid w:val="09511E6D"/>
    <w:rsid w:val="0969353F"/>
    <w:rsid w:val="098305D0"/>
    <w:rsid w:val="0A3317EA"/>
    <w:rsid w:val="0A5C4B69"/>
    <w:rsid w:val="0A86124A"/>
    <w:rsid w:val="0AB54CC0"/>
    <w:rsid w:val="0B9335CE"/>
    <w:rsid w:val="0BF2311A"/>
    <w:rsid w:val="0C7927C4"/>
    <w:rsid w:val="0C9B098C"/>
    <w:rsid w:val="0D673E11"/>
    <w:rsid w:val="0DDA54E4"/>
    <w:rsid w:val="0DF4557F"/>
    <w:rsid w:val="0E3A5F83"/>
    <w:rsid w:val="0F836721"/>
    <w:rsid w:val="0FA25D96"/>
    <w:rsid w:val="0FF92EE0"/>
    <w:rsid w:val="107B59E5"/>
    <w:rsid w:val="10EC0126"/>
    <w:rsid w:val="10F70B9A"/>
    <w:rsid w:val="111445C7"/>
    <w:rsid w:val="114278C6"/>
    <w:rsid w:val="1158083A"/>
    <w:rsid w:val="11643A4B"/>
    <w:rsid w:val="11ED0F98"/>
    <w:rsid w:val="11F03528"/>
    <w:rsid w:val="12C921C4"/>
    <w:rsid w:val="12FD7FCA"/>
    <w:rsid w:val="13871C70"/>
    <w:rsid w:val="13A71CB4"/>
    <w:rsid w:val="13AF1D43"/>
    <w:rsid w:val="13CE1647"/>
    <w:rsid w:val="13FD55AB"/>
    <w:rsid w:val="14200702"/>
    <w:rsid w:val="14CD18FF"/>
    <w:rsid w:val="15210759"/>
    <w:rsid w:val="163A6CEE"/>
    <w:rsid w:val="16C84A74"/>
    <w:rsid w:val="173708E3"/>
    <w:rsid w:val="17C374FC"/>
    <w:rsid w:val="182E4AB6"/>
    <w:rsid w:val="189079DC"/>
    <w:rsid w:val="189B0D0B"/>
    <w:rsid w:val="18B43F7C"/>
    <w:rsid w:val="194A1770"/>
    <w:rsid w:val="19B906A4"/>
    <w:rsid w:val="1B6F15B6"/>
    <w:rsid w:val="1BAA2EDC"/>
    <w:rsid w:val="1C57790E"/>
    <w:rsid w:val="1C661B83"/>
    <w:rsid w:val="1CA55E64"/>
    <w:rsid w:val="1D014A01"/>
    <w:rsid w:val="1D022362"/>
    <w:rsid w:val="1D1B04B0"/>
    <w:rsid w:val="1D830DCC"/>
    <w:rsid w:val="1DA52501"/>
    <w:rsid w:val="1DBD6767"/>
    <w:rsid w:val="1DC52125"/>
    <w:rsid w:val="1DD26311"/>
    <w:rsid w:val="1E374ACB"/>
    <w:rsid w:val="1E6B1145"/>
    <w:rsid w:val="1ECF0A66"/>
    <w:rsid w:val="1EF67CA4"/>
    <w:rsid w:val="1F020D3A"/>
    <w:rsid w:val="1F2C5189"/>
    <w:rsid w:val="1F4B0B02"/>
    <w:rsid w:val="1F82669E"/>
    <w:rsid w:val="1FB21F7A"/>
    <w:rsid w:val="1FBB35CD"/>
    <w:rsid w:val="1FCD26AF"/>
    <w:rsid w:val="20642787"/>
    <w:rsid w:val="21556F04"/>
    <w:rsid w:val="22403BD3"/>
    <w:rsid w:val="243C0ACA"/>
    <w:rsid w:val="24B92327"/>
    <w:rsid w:val="24C14514"/>
    <w:rsid w:val="2533755C"/>
    <w:rsid w:val="25791755"/>
    <w:rsid w:val="25794C17"/>
    <w:rsid w:val="26396DF4"/>
    <w:rsid w:val="26422CDB"/>
    <w:rsid w:val="26591E30"/>
    <w:rsid w:val="27167136"/>
    <w:rsid w:val="271B442C"/>
    <w:rsid w:val="27B23302"/>
    <w:rsid w:val="283C54CA"/>
    <w:rsid w:val="286C0D48"/>
    <w:rsid w:val="28D0685C"/>
    <w:rsid w:val="28D07583"/>
    <w:rsid w:val="28E679BE"/>
    <w:rsid w:val="29310A5F"/>
    <w:rsid w:val="29C37A35"/>
    <w:rsid w:val="2A076083"/>
    <w:rsid w:val="2A1846BB"/>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CE4A58"/>
    <w:rsid w:val="3337290D"/>
    <w:rsid w:val="33E31118"/>
    <w:rsid w:val="33EF7674"/>
    <w:rsid w:val="342D7BC6"/>
    <w:rsid w:val="352930DB"/>
    <w:rsid w:val="353A52F3"/>
    <w:rsid w:val="35573069"/>
    <w:rsid w:val="355F6038"/>
    <w:rsid w:val="358C217E"/>
    <w:rsid w:val="36C9128A"/>
    <w:rsid w:val="37841E99"/>
    <w:rsid w:val="37BF1123"/>
    <w:rsid w:val="383C3F15"/>
    <w:rsid w:val="38BE4696"/>
    <w:rsid w:val="3939115E"/>
    <w:rsid w:val="39B82A39"/>
    <w:rsid w:val="39C42CA8"/>
    <w:rsid w:val="39CD4C3C"/>
    <w:rsid w:val="39DC4FD6"/>
    <w:rsid w:val="39F03D7A"/>
    <w:rsid w:val="39F33306"/>
    <w:rsid w:val="3A2C1C67"/>
    <w:rsid w:val="3A3F2785"/>
    <w:rsid w:val="3ADD7F09"/>
    <w:rsid w:val="3B1705E5"/>
    <w:rsid w:val="3B18334B"/>
    <w:rsid w:val="3B36794F"/>
    <w:rsid w:val="3B6F6EE0"/>
    <w:rsid w:val="3C1D0B93"/>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263FC1"/>
    <w:rsid w:val="41314E40"/>
    <w:rsid w:val="41B84408"/>
    <w:rsid w:val="41E0734B"/>
    <w:rsid w:val="426C1EA8"/>
    <w:rsid w:val="42736402"/>
    <w:rsid w:val="42E86A87"/>
    <w:rsid w:val="43307B09"/>
    <w:rsid w:val="43981875"/>
    <w:rsid w:val="439A3EB9"/>
    <w:rsid w:val="43BB152F"/>
    <w:rsid w:val="449F47DD"/>
    <w:rsid w:val="44C37687"/>
    <w:rsid w:val="45321617"/>
    <w:rsid w:val="45CB699A"/>
    <w:rsid w:val="465B470D"/>
    <w:rsid w:val="469D6AD4"/>
    <w:rsid w:val="471E6C84"/>
    <w:rsid w:val="4748792B"/>
    <w:rsid w:val="475D719D"/>
    <w:rsid w:val="47674801"/>
    <w:rsid w:val="47D841CB"/>
    <w:rsid w:val="48225EF7"/>
    <w:rsid w:val="488F422B"/>
    <w:rsid w:val="48E36915"/>
    <w:rsid w:val="48EB6572"/>
    <w:rsid w:val="49296765"/>
    <w:rsid w:val="495C4A24"/>
    <w:rsid w:val="497135DF"/>
    <w:rsid w:val="4A263DF2"/>
    <w:rsid w:val="4A6F6675"/>
    <w:rsid w:val="4B135857"/>
    <w:rsid w:val="4B7951CB"/>
    <w:rsid w:val="4B7C315C"/>
    <w:rsid w:val="4DAC4ACA"/>
    <w:rsid w:val="4DBE01D2"/>
    <w:rsid w:val="4F0C6BA3"/>
    <w:rsid w:val="4F186D58"/>
    <w:rsid w:val="505B65AD"/>
    <w:rsid w:val="50F06B6E"/>
    <w:rsid w:val="51D21804"/>
    <w:rsid w:val="51F70B54"/>
    <w:rsid w:val="52234D33"/>
    <w:rsid w:val="522F6E0C"/>
    <w:rsid w:val="52463BA1"/>
    <w:rsid w:val="52F163D4"/>
    <w:rsid w:val="52F20E4A"/>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3A4B56"/>
    <w:rsid w:val="56530F5D"/>
    <w:rsid w:val="567700D3"/>
    <w:rsid w:val="56FF7E9E"/>
    <w:rsid w:val="578867FC"/>
    <w:rsid w:val="5842572D"/>
    <w:rsid w:val="5A3B59D6"/>
    <w:rsid w:val="5A3E219F"/>
    <w:rsid w:val="5AD134D8"/>
    <w:rsid w:val="5AE5611E"/>
    <w:rsid w:val="5C263CE4"/>
    <w:rsid w:val="5C5D2777"/>
    <w:rsid w:val="5CF66BF3"/>
    <w:rsid w:val="5D290C69"/>
    <w:rsid w:val="5D4B0B1D"/>
    <w:rsid w:val="5EF7640B"/>
    <w:rsid w:val="5F2D4A41"/>
    <w:rsid w:val="5F5A64B4"/>
    <w:rsid w:val="5FEB77CC"/>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4D0563"/>
    <w:rsid w:val="6C0A5AC5"/>
    <w:rsid w:val="6C560CAE"/>
    <w:rsid w:val="6C576495"/>
    <w:rsid w:val="6D903FF5"/>
    <w:rsid w:val="6DA955B8"/>
    <w:rsid w:val="6DE346AB"/>
    <w:rsid w:val="6DE5391A"/>
    <w:rsid w:val="6EFD1324"/>
    <w:rsid w:val="6F5018F8"/>
    <w:rsid w:val="6F5A53AC"/>
    <w:rsid w:val="6FAC003D"/>
    <w:rsid w:val="6FE55E12"/>
    <w:rsid w:val="6FFB2E76"/>
    <w:rsid w:val="708F6F7F"/>
    <w:rsid w:val="70D94BD3"/>
    <w:rsid w:val="71C34D91"/>
    <w:rsid w:val="72DB435C"/>
    <w:rsid w:val="72E2613A"/>
    <w:rsid w:val="72F771F4"/>
    <w:rsid w:val="73934AD2"/>
    <w:rsid w:val="743B3C07"/>
    <w:rsid w:val="750837F0"/>
    <w:rsid w:val="754758CF"/>
    <w:rsid w:val="764C63FC"/>
    <w:rsid w:val="764F62AB"/>
    <w:rsid w:val="765C45EC"/>
    <w:rsid w:val="768A7619"/>
    <w:rsid w:val="772E1EBA"/>
    <w:rsid w:val="774C2998"/>
    <w:rsid w:val="781926BC"/>
    <w:rsid w:val="796D60A4"/>
    <w:rsid w:val="79A031D5"/>
    <w:rsid w:val="7A1525F7"/>
    <w:rsid w:val="7B420052"/>
    <w:rsid w:val="7B4A03D4"/>
    <w:rsid w:val="7B804746"/>
    <w:rsid w:val="7BD06A28"/>
    <w:rsid w:val="7C3A7C0B"/>
    <w:rsid w:val="7C5248E4"/>
    <w:rsid w:val="7C566698"/>
    <w:rsid w:val="7C5866A3"/>
    <w:rsid w:val="7D7406BB"/>
    <w:rsid w:val="7D7E074B"/>
    <w:rsid w:val="7DE94331"/>
    <w:rsid w:val="7F446A19"/>
    <w:rsid w:val="7F7452B9"/>
    <w:rsid w:val="7FF77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9</TotalTime>
  <ScaleCrop>false</ScaleCrop>
  <LinksUpToDate>false</LinksUpToDate>
  <CharactersWithSpaces>26759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2024-09-30T07:15:37Z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2E53F9E165E244B1A572DFDE9F9660E7_13</vt:lpwstr>
  </property>
</Properties>
</file>