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adjustRightInd w:val="0"/>
        <w:snapToGrid w:val="0"/>
        <w:spacing w:before="0" w:beforeAutospacing="0" w:after="0" w:afterAutospacing="0" w:line="600" w:lineRule="exact"/>
        <w:jc w:val="center"/>
        <w:rPr>
          <w:rFonts w:ascii="方正小标宋简体" w:eastAsia="方正小标宋简体" w:cs="方正小标宋_GBK" w:hAnsiTheme="majorEastAsia"/>
          <w:sz w:val="40"/>
          <w:szCs w:val="40"/>
          <w:shd w:val="clear" w:color="auto" w:fill="FFFFFF"/>
        </w:rPr>
      </w:pPr>
      <w:r>
        <w:rPr>
          <w:rFonts w:ascii="方正小标宋简体" w:eastAsia="方正小标宋简体" w:cs="方正小标宋_GBK" w:hAnsiTheme="majorEastAsia"/>
          <w:sz w:val="36"/>
          <w:szCs w:val="36"/>
        </w:rPr>
        <w:t>重庆市巫溪县融媒体中心</w:t>
      </w:r>
      <w:r>
        <w:rPr>
          <w:rFonts w:ascii="方正小标宋简体" w:eastAsia="方正小标宋简体" w:cs="方正小标宋_GBK" w:hAnsiTheme="majorEastAsia"/>
          <w:sz w:val="36"/>
          <w:szCs w:val="36"/>
          <w:shd w:val="clear" w:color="auto" w:fill="FFFFFF"/>
        </w:rPr>
        <w:t>2023年度决算公开说明</w:t>
      </w:r>
    </w:p>
    <w:p>
      <w:pPr>
        <w:pStyle w:val="8"/>
        <w:shd w:val="clear" w:color="auto" w:fill="FFFFFF"/>
        <w:adjustRightInd w:val="0"/>
        <w:snapToGrid w:val="0"/>
        <w:spacing w:before="0" w:beforeAutospacing="0" w:after="0" w:afterAutospacing="0" w:line="600" w:lineRule="exact"/>
        <w:ind w:firstLine="640" w:firstLineChars="200"/>
        <w:jc w:val="both"/>
        <w:rPr>
          <w:rStyle w:val="12"/>
          <w:rFonts w:ascii="黑体" w:hAnsi="黑体" w:eastAsia="黑体" w:cs="黑体"/>
          <w:b w:val="0"/>
          <w:bCs/>
          <w:sz w:val="32"/>
          <w:szCs w:val="32"/>
          <w:shd w:val="clear" w:color="auto" w:fill="FFFFFF"/>
        </w:rPr>
      </w:pPr>
    </w:p>
    <w:p>
      <w:pPr>
        <w:pStyle w:val="8"/>
        <w:shd w:val="clear" w:color="auto" w:fill="FFFFFF"/>
        <w:adjustRightInd w:val="0"/>
        <w:snapToGrid w:val="0"/>
        <w:spacing w:before="0" w:beforeAutospacing="0" w:after="0" w:afterAutospacing="0" w:line="600" w:lineRule="exact"/>
        <w:ind w:firstLine="640" w:firstLineChars="200"/>
        <w:jc w:val="both"/>
        <w:rPr>
          <w:rFonts w:ascii="方正黑体_GBK" w:hAnsi="方正黑体_GBK" w:eastAsia="方正黑体_GBK" w:cs="方正黑体_GBK"/>
          <w:b/>
          <w:bCs/>
          <w:sz w:val="32"/>
          <w:szCs w:val="32"/>
        </w:rPr>
      </w:pPr>
      <w:r>
        <w:rPr>
          <w:rStyle w:val="12"/>
          <w:rFonts w:ascii="方正黑体_GBK" w:hAnsi="方正黑体_GBK" w:eastAsia="方正黑体_GBK" w:cs="方正黑体_GBK"/>
          <w:b w:val="0"/>
          <w:bCs/>
          <w:sz w:val="32"/>
          <w:szCs w:val="32"/>
          <w:shd w:val="clear" w:color="auto" w:fill="FFFFFF"/>
        </w:rPr>
        <w:t>一、</w:t>
      </w:r>
      <w:r>
        <w:rPr>
          <w:rStyle w:val="12"/>
          <w:rFonts w:hint="eastAsia" w:ascii="方正黑体_GBK" w:hAnsi="方正黑体_GBK" w:eastAsia="方正黑体_GBK" w:cs="方正黑体_GBK"/>
          <w:b w:val="0"/>
          <w:bCs/>
          <w:sz w:val="32"/>
          <w:szCs w:val="32"/>
          <w:shd w:val="clear" w:color="auto" w:fill="FFFFFF"/>
          <w:lang w:val="en-US" w:eastAsia="zh-CN"/>
        </w:rPr>
        <w:t>部门</w:t>
      </w:r>
      <w:r>
        <w:rPr>
          <w:rStyle w:val="12"/>
          <w:rFonts w:ascii="方正黑体_GBK" w:hAnsi="方正黑体_GBK" w:eastAsia="方正黑体_GBK" w:cs="方正黑体_GBK"/>
          <w:b w:val="0"/>
          <w:bCs/>
          <w:sz w:val="32"/>
          <w:szCs w:val="32"/>
          <w:shd w:val="clear" w:color="auto" w:fill="FFFFFF"/>
        </w:rPr>
        <w:t>基本情况</w:t>
      </w:r>
    </w:p>
    <w:p>
      <w:pPr>
        <w:pStyle w:val="8"/>
        <w:shd w:val="clear" w:color="auto" w:fill="FFFFFF"/>
        <w:adjustRightInd w:val="0"/>
        <w:snapToGrid w:val="0"/>
        <w:spacing w:before="0" w:beforeAutospacing="0" w:after="0" w:afterAutospacing="0" w:line="600" w:lineRule="exact"/>
        <w:ind w:firstLine="642" w:firstLineChars="200"/>
        <w:jc w:val="both"/>
        <w:rPr>
          <w:rFonts w:ascii="方正楷体_GBK" w:hAnsi="方正楷体_GBK" w:eastAsia="方正楷体_GBK" w:cs="方正楷体_GBK"/>
          <w:sz w:val="32"/>
          <w:szCs w:val="32"/>
        </w:rPr>
      </w:pPr>
      <w:r>
        <w:rPr>
          <w:rStyle w:val="12"/>
          <w:rFonts w:ascii="方正楷体_GBK" w:hAnsi="方正楷体_GBK" w:eastAsia="方正楷体_GBK" w:cs="方正楷体_GBK"/>
          <w:sz w:val="32"/>
          <w:szCs w:val="32"/>
          <w:shd w:val="clear" w:color="auto" w:fill="FFFFFF"/>
        </w:rPr>
        <w:t>（一）职能职责</w:t>
      </w:r>
    </w:p>
    <w:p>
      <w:pPr>
        <w:pStyle w:val="18"/>
        <w:autoSpaceDE w:val="0"/>
        <w:adjustRightInd w:val="0"/>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color w:val="000000"/>
          <w:sz w:val="32"/>
          <w:szCs w:val="32"/>
          <w:shd w:val="clear" w:color="auto" w:fill="FFFFFF"/>
        </w:rPr>
        <w:t>1.</w:t>
      </w:r>
      <w:r>
        <w:rPr>
          <w:rFonts w:ascii="方正仿宋_GBK" w:hAnsi="方正仿宋_GBK" w:eastAsia="方正仿宋_GBK" w:cs="方正仿宋_GBK"/>
          <w:sz w:val="32"/>
          <w:szCs w:val="32"/>
        </w:rPr>
        <w:t>贯彻执行</w:t>
      </w:r>
      <w:r>
        <w:rPr>
          <w:rStyle w:val="19"/>
          <w:rFonts w:hint="eastAsia" w:ascii="方正仿宋_GBK" w:hAnsi="方正仿宋_GBK" w:eastAsia="方正仿宋_GBK" w:cs="方正仿宋_GBK"/>
          <w:b w:val="0"/>
          <w:bCs w:val="0"/>
          <w:sz w:val="32"/>
          <w:szCs w:val="32"/>
          <w:shd w:val="clear" w:color="auto" w:fill="FFFFFF"/>
        </w:rPr>
        <w:t>党中央</w:t>
      </w:r>
      <w:r>
        <w:rPr>
          <w:rFonts w:ascii="方正仿宋_GBK" w:hAnsi="方正仿宋_GBK" w:eastAsia="方正仿宋_GBK" w:cs="方正仿宋_GBK"/>
          <w:sz w:val="32"/>
          <w:szCs w:val="32"/>
        </w:rPr>
        <w:t>、</w:t>
      </w:r>
      <w:r>
        <w:rPr>
          <w:rStyle w:val="19"/>
          <w:rFonts w:hint="eastAsia" w:ascii="方正仿宋_GBK" w:hAnsi="方正仿宋_GBK" w:eastAsia="方正仿宋_GBK" w:cs="方正仿宋_GBK"/>
          <w:b w:val="0"/>
          <w:bCs w:val="0"/>
          <w:sz w:val="32"/>
          <w:szCs w:val="32"/>
          <w:shd w:val="clear" w:color="auto" w:fill="FFFFFF"/>
        </w:rPr>
        <w:t>国务院</w:t>
      </w:r>
      <w:r>
        <w:rPr>
          <w:rFonts w:ascii="方正仿宋_GBK" w:hAnsi="方正仿宋_GBK" w:eastAsia="方正仿宋_GBK" w:cs="方正仿宋_GBK"/>
          <w:sz w:val="32"/>
          <w:szCs w:val="32"/>
        </w:rPr>
        <w:t>在新闻宣传、广播电视等工作方面的路线、方针、政策和国家的法律法规。围绕全县的中心工作，组织开展</w:t>
      </w:r>
      <w:r>
        <w:rPr>
          <w:rStyle w:val="19"/>
          <w:rFonts w:hint="eastAsia" w:ascii="方正仿宋_GBK" w:hAnsi="方正仿宋_GBK" w:eastAsia="方正仿宋_GBK" w:cs="方正仿宋_GBK"/>
          <w:b w:val="0"/>
          <w:bCs w:val="0"/>
          <w:sz w:val="32"/>
          <w:szCs w:val="32"/>
          <w:shd w:val="clear" w:color="auto" w:fill="FFFFFF"/>
        </w:rPr>
        <w:t>宣传</w:t>
      </w:r>
      <w:r>
        <w:rPr>
          <w:rFonts w:ascii="方正仿宋_GBK" w:hAnsi="方正仿宋_GBK" w:eastAsia="方正仿宋_GBK" w:cs="方正仿宋_GBK"/>
          <w:sz w:val="32"/>
          <w:szCs w:val="32"/>
        </w:rPr>
        <w:t>工作；</w:t>
      </w:r>
    </w:p>
    <w:p>
      <w:pPr>
        <w:widowControl w:val="0"/>
        <w:autoSpaceDE w:val="0"/>
        <w:adjustRightInd w:val="0"/>
        <w:snapToGrid w:val="0"/>
        <w:spacing w:line="600"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2.负责对外宣传和本中心节目的审查制作和创优，不断提高宣传质量，严格遵守宣传纪律，把握好宣传导向；</w:t>
      </w:r>
    </w:p>
    <w:p>
      <w:pPr>
        <w:widowControl w:val="0"/>
        <w:autoSpaceDE w:val="0"/>
        <w:adjustRightInd w:val="0"/>
        <w:snapToGrid w:val="0"/>
        <w:spacing w:line="600"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rPr>
        <w:t>3.编发县级连续性内部刊物《巫溪报》；</w:t>
      </w:r>
    </w:p>
    <w:p>
      <w:pPr>
        <w:widowControl w:val="0"/>
        <w:autoSpaceDE w:val="0"/>
        <w:adjustRightInd w:val="0"/>
        <w:snapToGrid w:val="0"/>
        <w:spacing w:line="600"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rPr>
        <w:t>4.负责巫溪县广播电视新闻、专题等电视节目的制作、播出，开展相关研究；</w:t>
      </w:r>
    </w:p>
    <w:p>
      <w:pPr>
        <w:widowControl w:val="0"/>
        <w:autoSpaceDE w:val="0"/>
        <w:adjustRightInd w:val="0"/>
        <w:snapToGrid w:val="0"/>
        <w:spacing w:line="600"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rPr>
        <w:t>5.负责巫溪门户网新闻频道、巫溪APP、巫溪手机报、巫溪手机台、重庆巫溪政务微博、重庆巫溪微信公众号等新媒体平台的活动策划、内容生产及管理运营；</w:t>
      </w:r>
    </w:p>
    <w:p>
      <w:pPr>
        <w:widowControl w:val="0"/>
        <w:autoSpaceDE w:val="0"/>
        <w:adjustRightInd w:val="0"/>
        <w:snapToGrid w:val="0"/>
        <w:spacing w:line="600"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rPr>
        <w:t>6.承办全县的广播电视、报刊及新媒体广告宣传业务，按照广告管理法规，积极组织广告运营工作；</w:t>
      </w:r>
    </w:p>
    <w:p>
      <w:pPr>
        <w:widowControl w:val="0"/>
        <w:autoSpaceDE w:val="0"/>
        <w:adjustRightInd w:val="0"/>
        <w:snapToGrid w:val="0"/>
        <w:spacing w:line="600"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rPr>
        <w:t>7.负责宣传队伍的思想政治建设、业务培训、职业道德教育和人才队伍建设，深化巫溪县融媒体中心内部改革，组织培养各类专业人才，提高职工整体素质；</w:t>
      </w:r>
    </w:p>
    <w:p>
      <w:pPr>
        <w:widowControl w:val="0"/>
        <w:autoSpaceDE w:val="0"/>
        <w:adjustRightInd w:val="0"/>
        <w:snapToGrid w:val="0"/>
        <w:spacing w:line="600"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rPr>
        <w:t>8.负责本地区报纸、网络、广播电视节目、新媒体编播发信息系统安全，并通过信息网络向公众传播；</w:t>
      </w:r>
    </w:p>
    <w:p>
      <w:pPr>
        <w:widowControl w:val="0"/>
        <w:autoSpaceDE w:val="0"/>
        <w:adjustRightInd w:val="0"/>
        <w:snapToGrid w:val="0"/>
        <w:spacing w:line="600"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rPr>
        <w:t>9.负责大型活动、专题片、电视播出等文化创意产业发展；</w:t>
      </w:r>
    </w:p>
    <w:p>
      <w:pPr>
        <w:widowControl w:val="0"/>
        <w:autoSpaceDE w:val="0"/>
        <w:adjustRightInd w:val="0"/>
        <w:snapToGrid w:val="0"/>
        <w:spacing w:line="600"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rPr>
        <w:t>10.负责智慧产业和“媒体+”信息技术产业发展；</w:t>
      </w:r>
    </w:p>
    <w:p>
      <w:pPr>
        <w:pStyle w:val="8"/>
        <w:adjustRightInd w:val="0"/>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rPr>
        <w:t>11.承办县委、县政府交办的其他事项。</w:t>
      </w:r>
    </w:p>
    <w:p>
      <w:pPr>
        <w:pStyle w:val="8"/>
        <w:shd w:val="clear" w:color="auto" w:fill="FFFFFF"/>
        <w:adjustRightInd w:val="0"/>
        <w:snapToGrid w:val="0"/>
        <w:spacing w:before="0" w:beforeAutospacing="0" w:after="0" w:afterAutospacing="0" w:line="600" w:lineRule="exact"/>
        <w:ind w:firstLine="642" w:firstLineChars="200"/>
        <w:jc w:val="both"/>
        <w:rPr>
          <w:rStyle w:val="12"/>
          <w:rFonts w:ascii="方正楷体简体" w:hAnsi="方正仿宋简体" w:eastAsia="方正楷体简体" w:cs="楷体"/>
          <w:sz w:val="32"/>
          <w:szCs w:val="32"/>
          <w:shd w:val="clear" w:color="auto" w:fill="FFFFFF"/>
        </w:rPr>
      </w:pPr>
      <w:r>
        <w:rPr>
          <w:rStyle w:val="12"/>
          <w:rFonts w:ascii="方正楷体简体" w:hAnsi="方正仿宋简体" w:eastAsia="方正楷体简体" w:cs="楷体"/>
          <w:sz w:val="32"/>
          <w:szCs w:val="32"/>
          <w:shd w:val="clear" w:color="auto" w:fill="FFFFFF"/>
        </w:rPr>
        <w:t>（二）机构设置</w:t>
      </w:r>
    </w:p>
    <w:p>
      <w:pPr>
        <w:widowControl w:val="0"/>
        <w:autoSpaceDE w:val="0"/>
        <w:adjustRightInd w:val="0"/>
        <w:snapToGrid w:val="0"/>
        <w:spacing w:line="600" w:lineRule="exact"/>
        <w:ind w:firstLine="640" w:firstLineChars="200"/>
        <w:jc w:val="both"/>
        <w:rPr>
          <w:rFonts w:ascii="方正仿宋简体" w:hAnsi="方正仿宋简体" w:eastAsia="方正仿宋简体" w:cs="仿宋_GB2312"/>
          <w:sz w:val="32"/>
          <w:szCs w:val="32"/>
        </w:rPr>
      </w:pPr>
      <w:r>
        <w:rPr>
          <w:rFonts w:ascii="方正仿宋_GBK" w:hAnsi="方正仿宋_GBK" w:eastAsia="方正仿宋_GBK" w:cs="方正仿宋_GBK"/>
          <w:sz w:val="32"/>
          <w:szCs w:val="32"/>
        </w:rPr>
        <w:t>根据上述宗旨和职责任务，巫溪县融媒体中心设置办公室、财务部、广告部、技播部、采编部、采访部、社联部、视讯部、新媒体部、《巫溪报》编辑部、广播部等11个内设科室。</w:t>
      </w:r>
    </w:p>
    <w:p>
      <w:pPr>
        <w:pStyle w:val="8"/>
        <w:shd w:val="clear" w:color="auto" w:fill="FFFFFF"/>
        <w:adjustRightInd w:val="0"/>
        <w:snapToGrid w:val="0"/>
        <w:spacing w:before="0" w:beforeAutospacing="0" w:after="0" w:afterAutospacing="0" w:line="600" w:lineRule="exact"/>
        <w:ind w:firstLine="642" w:firstLineChars="200"/>
        <w:jc w:val="both"/>
        <w:rPr>
          <w:rStyle w:val="12"/>
          <w:rFonts w:ascii="方正楷体简体" w:hAnsi="方正仿宋简体" w:eastAsia="方正楷体简体" w:cs="楷体"/>
          <w:sz w:val="32"/>
          <w:szCs w:val="32"/>
          <w:shd w:val="clear" w:color="auto" w:fill="FFFFFF"/>
        </w:rPr>
      </w:pPr>
      <w:r>
        <w:rPr>
          <w:rStyle w:val="12"/>
          <w:rFonts w:ascii="方正楷体简体" w:hAnsi="方正仿宋简体" w:eastAsia="方正楷体简体" w:cs="楷体"/>
          <w:sz w:val="32"/>
          <w:szCs w:val="32"/>
          <w:shd w:val="clear" w:color="auto" w:fill="FFFFFF"/>
        </w:rPr>
        <w:t>（三）单位构成</w:t>
      </w:r>
    </w:p>
    <w:p>
      <w:pPr>
        <w:widowControl w:val="0"/>
        <w:autoSpaceDE w:val="0"/>
        <w:adjustRightInd w:val="0"/>
        <w:snapToGrid w:val="0"/>
        <w:spacing w:line="600"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rPr>
        <w:t>从预算单位构成看，为纳入本部门2023年度决算编制的一级预算单位，无下级预算单位。</w:t>
      </w:r>
    </w:p>
    <w:p>
      <w:pPr>
        <w:pStyle w:val="8"/>
        <w:shd w:val="clear" w:color="auto" w:fill="FFFFFF"/>
        <w:adjustRightInd w:val="0"/>
        <w:snapToGrid w:val="0"/>
        <w:spacing w:before="0" w:beforeAutospacing="0" w:after="0" w:afterAutospacing="0" w:line="600" w:lineRule="exact"/>
        <w:ind w:firstLine="640" w:firstLineChars="200"/>
        <w:jc w:val="both"/>
        <w:rPr>
          <w:rStyle w:val="12"/>
          <w:rFonts w:ascii="方正黑体简体" w:hAnsi="黑体" w:eastAsia="方正黑体简体" w:cs="黑体"/>
          <w:b w:val="0"/>
          <w:bCs/>
          <w:sz w:val="32"/>
          <w:szCs w:val="32"/>
          <w:shd w:val="clear" w:color="auto" w:fill="FFFFFF"/>
        </w:rPr>
      </w:pPr>
      <w:r>
        <w:rPr>
          <w:rStyle w:val="12"/>
          <w:rFonts w:ascii="方正黑体简体" w:hAnsi="黑体" w:eastAsia="方正黑体简体" w:cs="黑体"/>
          <w:b w:val="0"/>
          <w:bCs/>
          <w:sz w:val="32"/>
          <w:szCs w:val="32"/>
          <w:shd w:val="clear" w:color="auto" w:fill="FFFFFF"/>
        </w:rPr>
        <w:t>二、</w:t>
      </w:r>
      <w:r>
        <w:rPr>
          <w:rStyle w:val="12"/>
          <w:rFonts w:hint="eastAsia" w:ascii="方正黑体简体" w:hAnsi="黑体" w:eastAsia="方正黑体简体" w:cs="黑体"/>
          <w:b w:val="0"/>
          <w:bCs/>
          <w:sz w:val="32"/>
          <w:szCs w:val="32"/>
          <w:shd w:val="clear" w:color="auto" w:fill="FFFFFF"/>
          <w:lang w:val="en-US" w:eastAsia="zh-CN"/>
        </w:rPr>
        <w:t>部门</w:t>
      </w:r>
      <w:r>
        <w:rPr>
          <w:rStyle w:val="12"/>
          <w:rFonts w:ascii="方正黑体简体" w:hAnsi="黑体" w:eastAsia="方正黑体简体" w:cs="黑体"/>
          <w:b w:val="0"/>
          <w:bCs/>
          <w:sz w:val="32"/>
          <w:szCs w:val="32"/>
          <w:shd w:val="clear" w:color="auto" w:fill="FFFFFF"/>
        </w:rPr>
        <w:t>决算情况说明</w:t>
      </w:r>
    </w:p>
    <w:p>
      <w:pPr>
        <w:pStyle w:val="13"/>
        <w:autoSpaceDE w:val="0"/>
        <w:adjustRightInd w:val="0"/>
        <w:snapToGrid w:val="0"/>
        <w:spacing w:line="600" w:lineRule="exact"/>
        <w:ind w:firstLine="643"/>
        <w:jc w:val="both"/>
        <w:rPr>
          <w:rFonts w:hint="eastAsia" w:ascii="方正楷体简体" w:hAnsi="楷体" w:eastAsia="方正楷体简体" w:cs="楷体"/>
          <w:b/>
          <w:bCs/>
          <w:sz w:val="32"/>
          <w:szCs w:val="32"/>
          <w:shd w:val="clear" w:color="auto" w:fill="FFFFFF"/>
        </w:rPr>
      </w:pPr>
      <w:r>
        <w:rPr>
          <w:rFonts w:hint="eastAsia" w:ascii="方正楷体简体" w:hAnsi="楷体" w:eastAsia="方正楷体简体" w:cs="楷体"/>
          <w:b/>
          <w:bCs/>
          <w:sz w:val="32"/>
          <w:szCs w:val="32"/>
          <w:shd w:val="clear" w:color="auto" w:fill="FFFFFF"/>
        </w:rPr>
        <w:t>（一）收入支出决算总体情况说明</w:t>
      </w:r>
    </w:p>
    <w:p>
      <w:pPr>
        <w:adjustRightInd w:val="0"/>
        <w:snapToGrid w:val="0"/>
        <w:spacing w:line="600" w:lineRule="exact"/>
        <w:ind w:firstLine="642"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1.总体情况。</w:t>
      </w:r>
      <w:r>
        <w:rPr>
          <w:rFonts w:ascii="方正仿宋_GBK" w:hAnsi="方正仿宋_GBK" w:eastAsia="方正仿宋_GBK" w:cs="方正仿宋_GBK"/>
          <w:sz w:val="32"/>
          <w:szCs w:val="32"/>
        </w:rPr>
        <w:t>2023年度收入总计1489.51万元，支出总计1489.51万元。收支较上年决算数增加190.68万元，增长14.68%，其中：基本支出增加122.65万元、 项目支出增加68.03万元。基本支出增加原因：</w:t>
      </w:r>
      <w:r>
        <w:rPr>
          <w:rFonts w:ascii="方正仿宋_GBK" w:hAnsi="方正仿宋_GBK" w:eastAsia="方正仿宋_GBK" w:cs="方正仿宋_GBK"/>
          <w:b/>
          <w:bCs/>
          <w:sz w:val="32"/>
          <w:szCs w:val="32"/>
        </w:rPr>
        <w:t>一是</w:t>
      </w:r>
      <w:r>
        <w:rPr>
          <w:rFonts w:ascii="方正仿宋_GBK" w:hAnsi="方正仿宋_GBK" w:eastAsia="方正仿宋_GBK" w:cs="方正仿宋_GBK"/>
          <w:sz w:val="32"/>
          <w:szCs w:val="32"/>
        </w:rPr>
        <w:t>2022年末受疫情影响事业人员目标绩效和平时考核部分本年初才发放到位；</w:t>
      </w:r>
      <w:r>
        <w:rPr>
          <w:rFonts w:ascii="方正仿宋_GBK" w:hAnsi="方正仿宋_GBK" w:eastAsia="方正仿宋_GBK" w:cs="方正仿宋_GBK"/>
          <w:b/>
          <w:bCs/>
          <w:sz w:val="32"/>
          <w:szCs w:val="32"/>
        </w:rPr>
        <w:t>二是</w:t>
      </w:r>
      <w:r>
        <w:rPr>
          <w:rFonts w:ascii="方正仿宋_GBK" w:hAnsi="方正仿宋_GBK" w:eastAsia="方正仿宋_GBK" w:cs="方正仿宋_GBK"/>
          <w:sz w:val="32"/>
          <w:szCs w:val="32"/>
        </w:rPr>
        <w:t>年末财政补拨付2014年10月—2016年12月职业年金单位应缴部分13.38万元；</w:t>
      </w:r>
      <w:r>
        <w:rPr>
          <w:rFonts w:ascii="方正仿宋_GBK" w:hAnsi="方正仿宋_GBK" w:eastAsia="方正仿宋_GBK" w:cs="方正仿宋_GBK"/>
          <w:b/>
          <w:bCs/>
          <w:color w:val="000000"/>
          <w:sz w:val="32"/>
          <w:szCs w:val="32"/>
          <w:shd w:val="clear" w:color="auto" w:fill="FFFFFF"/>
        </w:rPr>
        <w:t>三是</w:t>
      </w:r>
      <w:r>
        <w:rPr>
          <w:rFonts w:ascii="方正仿宋_GBK" w:hAnsi="方正仿宋_GBK" w:eastAsia="方正仿宋_GBK" w:cs="方正仿宋_GBK"/>
          <w:color w:val="000000"/>
          <w:sz w:val="32"/>
          <w:szCs w:val="32"/>
          <w:shd w:val="clear" w:color="auto" w:fill="FFFFFF"/>
        </w:rPr>
        <w:t>在职人员晋档晋级工资增加；</w:t>
      </w:r>
      <w:r>
        <w:rPr>
          <w:rFonts w:ascii="方正仿宋_GBK" w:hAnsi="方正仿宋_GBK" w:eastAsia="方正仿宋_GBK" w:cs="方正仿宋_GBK"/>
          <w:b/>
          <w:bCs/>
          <w:sz w:val="32"/>
          <w:szCs w:val="32"/>
        </w:rPr>
        <w:t>四是</w:t>
      </w:r>
      <w:r>
        <w:rPr>
          <w:rFonts w:ascii="方正仿宋_GBK" w:hAnsi="方正仿宋_GBK" w:eastAsia="方正仿宋_GBK" w:cs="方正仿宋_GBK"/>
          <w:sz w:val="32"/>
          <w:szCs w:val="32"/>
        </w:rPr>
        <w:t>今年新招录职工8人。项目支出增加原因：是年中追拨了聘用人员劳务费及社保费。</w:t>
      </w:r>
    </w:p>
    <w:p>
      <w:pPr>
        <w:adjustRightInd w:val="0"/>
        <w:snapToGrid w:val="0"/>
        <w:spacing w:line="600" w:lineRule="exact"/>
        <w:ind w:firstLine="642" w:firstLineChars="200"/>
        <w:jc w:val="both"/>
        <w:rPr>
          <w:rFonts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2023年度收入合计1489.51万元，较上年决算数增加190.68万元，增长14.68%，其中：基本支出增加122.65万元、 项目支出增加68.03万元。</w:t>
      </w:r>
      <w:r>
        <w:rPr>
          <w:rFonts w:ascii="方正仿宋_GBK" w:hAnsi="方正仿宋_GBK" w:eastAsia="方正仿宋_GBK" w:cs="方正仿宋_GBK"/>
          <w:sz w:val="32"/>
          <w:szCs w:val="32"/>
        </w:rPr>
        <w:t>基本支出增加原因：</w:t>
      </w:r>
      <w:r>
        <w:rPr>
          <w:rFonts w:ascii="方正仿宋_GBK" w:hAnsi="方正仿宋_GBK" w:eastAsia="方正仿宋_GBK" w:cs="方正仿宋_GBK"/>
          <w:b/>
          <w:bCs/>
          <w:sz w:val="32"/>
          <w:szCs w:val="32"/>
        </w:rPr>
        <w:t>一是</w:t>
      </w:r>
      <w:r>
        <w:rPr>
          <w:rFonts w:ascii="方正仿宋_GBK" w:hAnsi="方正仿宋_GBK" w:eastAsia="方正仿宋_GBK" w:cs="方正仿宋_GBK"/>
          <w:sz w:val="32"/>
          <w:szCs w:val="32"/>
        </w:rPr>
        <w:t>2022年末受疫情影响事业人员目标绩效和平时考核部分本年初才发放到位；</w:t>
      </w:r>
      <w:r>
        <w:rPr>
          <w:rFonts w:ascii="方正仿宋_GBK" w:hAnsi="方正仿宋_GBK" w:eastAsia="方正仿宋_GBK" w:cs="方正仿宋_GBK"/>
          <w:b/>
          <w:bCs/>
          <w:sz w:val="32"/>
          <w:szCs w:val="32"/>
        </w:rPr>
        <w:t>二是</w:t>
      </w:r>
      <w:r>
        <w:rPr>
          <w:rFonts w:ascii="方正仿宋_GBK" w:hAnsi="方正仿宋_GBK" w:eastAsia="方正仿宋_GBK" w:cs="方正仿宋_GBK"/>
          <w:sz w:val="32"/>
          <w:szCs w:val="32"/>
        </w:rPr>
        <w:t>年末财政补拨付2014年10月—2016年12月职业年金单位应缴部分13.38万元；</w:t>
      </w:r>
      <w:r>
        <w:rPr>
          <w:rFonts w:ascii="方正仿宋_GBK" w:hAnsi="方正仿宋_GBK" w:eastAsia="方正仿宋_GBK" w:cs="方正仿宋_GBK"/>
          <w:b/>
          <w:bCs/>
          <w:color w:val="000000"/>
          <w:sz w:val="32"/>
          <w:szCs w:val="32"/>
          <w:shd w:val="clear" w:color="auto" w:fill="FFFFFF"/>
        </w:rPr>
        <w:t>三是</w:t>
      </w:r>
      <w:r>
        <w:rPr>
          <w:rFonts w:ascii="方正仿宋_GBK" w:hAnsi="方正仿宋_GBK" w:eastAsia="方正仿宋_GBK" w:cs="方正仿宋_GBK"/>
          <w:color w:val="000000"/>
          <w:sz w:val="32"/>
          <w:szCs w:val="32"/>
          <w:shd w:val="clear" w:color="auto" w:fill="FFFFFF"/>
        </w:rPr>
        <w:t>在职人员晋档晋级工资增加；</w:t>
      </w:r>
      <w:r>
        <w:rPr>
          <w:rFonts w:ascii="方正仿宋_GBK" w:hAnsi="方正仿宋_GBK" w:eastAsia="方正仿宋_GBK" w:cs="方正仿宋_GBK"/>
          <w:b/>
          <w:bCs/>
          <w:sz w:val="32"/>
          <w:szCs w:val="32"/>
        </w:rPr>
        <w:t>四是</w:t>
      </w:r>
      <w:r>
        <w:rPr>
          <w:rFonts w:ascii="方正仿宋_GBK" w:hAnsi="方正仿宋_GBK" w:eastAsia="方正仿宋_GBK" w:cs="方正仿宋_GBK"/>
          <w:sz w:val="32"/>
          <w:szCs w:val="32"/>
        </w:rPr>
        <w:t>今年新招录职工8人。项目支出增加原因：是年中追拨了聘用人员劳务费及社保费。</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1489.51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adjustRightInd w:val="0"/>
        <w:snapToGrid w:val="0"/>
        <w:spacing w:line="600" w:lineRule="exact"/>
        <w:ind w:firstLine="642" w:firstLineChars="200"/>
        <w:jc w:val="both"/>
        <w:rPr>
          <w:rFonts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1489.51</w:t>
      </w:r>
      <w:r>
        <w:rPr>
          <w:rFonts w:ascii="方正仿宋_GBK" w:hAnsi="方正仿宋_GBK" w:eastAsia="方正仿宋_GBK" w:cs="方正仿宋_GBK"/>
          <w:sz w:val="32"/>
          <w:szCs w:val="32"/>
          <w:shd w:val="clear" w:color="auto" w:fill="FFFFFF"/>
        </w:rPr>
        <w:t>万元，较上年决算数增加190.68万元，增长14.68%，主要是基本支出增加122.65万元、 项目支出增加68.03万元。其中：基本支出</w:t>
      </w:r>
      <w:r>
        <w:rPr>
          <w:rFonts w:ascii="方正仿宋_GBK" w:hAnsi="方正仿宋_GBK" w:eastAsia="方正仿宋_GBK" w:cs="方正仿宋_GBK"/>
          <w:sz w:val="32"/>
          <w:szCs w:val="32"/>
        </w:rPr>
        <w:t>951.68</w:t>
      </w:r>
      <w:r>
        <w:rPr>
          <w:rFonts w:ascii="方正仿宋_GBK" w:hAnsi="方正仿宋_GBK" w:eastAsia="方正仿宋_GBK" w:cs="方正仿宋_GBK"/>
          <w:sz w:val="32"/>
          <w:szCs w:val="32"/>
          <w:shd w:val="clear" w:color="auto" w:fill="FFFFFF"/>
        </w:rPr>
        <w:t>万元，占总支出63.89%；项目支出</w:t>
      </w:r>
      <w:r>
        <w:rPr>
          <w:rFonts w:ascii="方正仿宋_GBK" w:hAnsi="方正仿宋_GBK" w:eastAsia="方正仿宋_GBK" w:cs="方正仿宋_GBK"/>
          <w:sz w:val="32"/>
          <w:szCs w:val="32"/>
        </w:rPr>
        <w:t>537.84</w:t>
      </w:r>
      <w:r>
        <w:rPr>
          <w:rFonts w:ascii="方正仿宋_GBK" w:hAnsi="方正仿宋_GBK" w:eastAsia="方正仿宋_GBK" w:cs="方正仿宋_GBK"/>
          <w:sz w:val="32"/>
          <w:szCs w:val="32"/>
          <w:shd w:val="clear" w:color="auto" w:fill="FFFFFF"/>
        </w:rPr>
        <w:t>万元，占总支出36.11%。</w:t>
      </w:r>
      <w:r>
        <w:rPr>
          <w:rFonts w:ascii="方正仿宋_GBK" w:hAnsi="方正仿宋_GBK" w:eastAsia="方正仿宋_GBK" w:cs="方正仿宋_GBK"/>
          <w:sz w:val="32"/>
          <w:szCs w:val="32"/>
        </w:rPr>
        <w:t>基本支出增加原因：</w:t>
      </w:r>
      <w:r>
        <w:rPr>
          <w:rFonts w:ascii="方正仿宋_GBK" w:hAnsi="方正仿宋_GBK" w:eastAsia="方正仿宋_GBK" w:cs="方正仿宋_GBK"/>
          <w:b/>
          <w:bCs/>
          <w:sz w:val="32"/>
          <w:szCs w:val="32"/>
        </w:rPr>
        <w:t>一是</w:t>
      </w:r>
      <w:r>
        <w:rPr>
          <w:rFonts w:ascii="方正仿宋_GBK" w:hAnsi="方正仿宋_GBK" w:eastAsia="方正仿宋_GBK" w:cs="方正仿宋_GBK"/>
          <w:sz w:val="32"/>
          <w:szCs w:val="32"/>
        </w:rPr>
        <w:t>2022年末受疫情影响事业人员目标绩效和平时考核部分本年初才发放到位；</w:t>
      </w:r>
      <w:r>
        <w:rPr>
          <w:rFonts w:ascii="方正仿宋_GBK" w:hAnsi="方正仿宋_GBK" w:eastAsia="方正仿宋_GBK" w:cs="方正仿宋_GBK"/>
          <w:b/>
          <w:bCs/>
          <w:sz w:val="32"/>
          <w:szCs w:val="32"/>
        </w:rPr>
        <w:t>二是</w:t>
      </w:r>
      <w:r>
        <w:rPr>
          <w:rFonts w:ascii="方正仿宋_GBK" w:hAnsi="方正仿宋_GBK" w:eastAsia="方正仿宋_GBK" w:cs="方正仿宋_GBK"/>
          <w:sz w:val="32"/>
          <w:szCs w:val="32"/>
        </w:rPr>
        <w:t>年末财政补拨付2014年10月—2016年12月职业年金单位应缴部分13.38万元；</w:t>
      </w:r>
      <w:r>
        <w:rPr>
          <w:rFonts w:ascii="方正仿宋_GBK" w:hAnsi="方正仿宋_GBK" w:eastAsia="方正仿宋_GBK" w:cs="方正仿宋_GBK"/>
          <w:b/>
          <w:bCs/>
          <w:color w:val="000000"/>
          <w:sz w:val="32"/>
          <w:szCs w:val="32"/>
          <w:shd w:val="clear" w:color="auto" w:fill="FFFFFF"/>
        </w:rPr>
        <w:t>三是</w:t>
      </w:r>
      <w:r>
        <w:rPr>
          <w:rFonts w:ascii="方正仿宋_GBK" w:hAnsi="方正仿宋_GBK" w:eastAsia="方正仿宋_GBK" w:cs="方正仿宋_GBK"/>
          <w:color w:val="000000"/>
          <w:sz w:val="32"/>
          <w:szCs w:val="32"/>
          <w:shd w:val="clear" w:color="auto" w:fill="FFFFFF"/>
        </w:rPr>
        <w:t>在职人员晋档晋级工资增加；</w:t>
      </w:r>
      <w:r>
        <w:rPr>
          <w:rFonts w:ascii="方正仿宋_GBK" w:hAnsi="方正仿宋_GBK" w:eastAsia="方正仿宋_GBK" w:cs="方正仿宋_GBK"/>
          <w:b/>
          <w:bCs/>
          <w:sz w:val="32"/>
          <w:szCs w:val="32"/>
        </w:rPr>
        <w:t>四是</w:t>
      </w:r>
      <w:r>
        <w:rPr>
          <w:rFonts w:ascii="方正仿宋_GBK" w:hAnsi="方正仿宋_GBK" w:eastAsia="方正仿宋_GBK" w:cs="方正仿宋_GBK"/>
          <w:sz w:val="32"/>
          <w:szCs w:val="32"/>
        </w:rPr>
        <w:t>今年新招录职工8人。项目支出增加原因：是年中追拨了聘用人员劳务费及社保费。</w:t>
      </w:r>
      <w:r>
        <w:rPr>
          <w:rFonts w:ascii="方正仿宋_GBK" w:hAnsi="方正仿宋_GBK" w:eastAsia="方正仿宋_GBK" w:cs="方正仿宋_GBK"/>
          <w:sz w:val="32"/>
          <w:szCs w:val="32"/>
          <w:shd w:val="clear" w:color="auto" w:fill="FFFFFF"/>
        </w:rPr>
        <w:t>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widowControl w:val="0"/>
        <w:autoSpaceDE w:val="0"/>
        <w:adjustRightInd w:val="0"/>
        <w:snapToGrid w:val="0"/>
        <w:spacing w:line="600" w:lineRule="exact"/>
        <w:ind w:firstLine="642" w:firstLineChars="200"/>
        <w:jc w:val="both"/>
        <w:rPr>
          <w:rFonts w:ascii="方正仿宋_GBK" w:hAnsi="方正仿宋_GBK" w:eastAsia="方正仿宋_GBK" w:cs="方正仿宋_GBK"/>
          <w:color w:val="000000"/>
          <w:sz w:val="32"/>
          <w:szCs w:val="32"/>
          <w:shd w:val="clear" w:color="auto" w:fill="FFFFFF"/>
        </w:rPr>
      </w:pPr>
      <w:r>
        <w:rPr>
          <w:rStyle w:val="12"/>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hint="eastAsia" w:ascii="方正仿宋_GBK" w:hAnsi="方正仿宋_GBK" w:eastAsia="方正仿宋_GBK" w:cs="方正仿宋_GBK"/>
          <w:sz w:val="32"/>
          <w:szCs w:val="32"/>
          <w:lang w:val="en-US" w:eastAsia="zh-CN"/>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color w:val="000000"/>
          <w:sz w:val="32"/>
          <w:szCs w:val="32"/>
          <w:shd w:val="clear" w:color="auto" w:fill="FFFFFF"/>
        </w:rPr>
        <w:t>较上年决算数增加0万元。</w:t>
      </w:r>
    </w:p>
    <w:p>
      <w:pPr>
        <w:pStyle w:val="13"/>
        <w:autoSpaceDE w:val="0"/>
        <w:adjustRightInd w:val="0"/>
        <w:snapToGrid w:val="0"/>
        <w:spacing w:line="600" w:lineRule="exact"/>
        <w:ind w:firstLine="643"/>
        <w:jc w:val="both"/>
        <w:rPr>
          <w:rFonts w:hint="eastAsia" w:ascii="方正楷体简体" w:hAnsi="楷体" w:eastAsia="方正楷体简体" w:cs="楷体"/>
          <w:b/>
          <w:bCs/>
          <w:sz w:val="32"/>
          <w:szCs w:val="32"/>
          <w:shd w:val="clear" w:color="auto" w:fill="FFFFFF"/>
        </w:rPr>
      </w:pPr>
      <w:r>
        <w:rPr>
          <w:rFonts w:hint="eastAsia" w:ascii="方正楷体简体" w:hAnsi="楷体" w:eastAsia="方正楷体简体" w:cs="楷体"/>
          <w:b/>
          <w:bCs/>
          <w:sz w:val="32"/>
          <w:szCs w:val="32"/>
          <w:shd w:val="clear" w:color="auto" w:fill="FFFFFF"/>
        </w:rPr>
        <w:t>（二）财政拨款收入支出决算总体情况说明</w:t>
      </w:r>
    </w:p>
    <w:p>
      <w:pPr>
        <w:pStyle w:val="8"/>
        <w:adjustRightInd w:val="0"/>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2023年度财政拨款收、支总计1489.51万元。与2022年相比，财政拨款收、支总计各增加190.68万元，增长14.68%。</w:t>
      </w:r>
      <w:r>
        <w:rPr>
          <w:rFonts w:ascii="方正仿宋_GBK" w:hAnsi="方正仿宋_GBK" w:eastAsia="方正仿宋_GBK" w:cs="方正仿宋_GBK"/>
          <w:sz w:val="32"/>
          <w:szCs w:val="32"/>
        </w:rPr>
        <w:t>基本支出增加原因：</w:t>
      </w:r>
      <w:r>
        <w:rPr>
          <w:rFonts w:ascii="方正仿宋_GBK" w:hAnsi="方正仿宋_GBK" w:eastAsia="方正仿宋_GBK" w:cs="方正仿宋_GBK"/>
          <w:b/>
          <w:bCs/>
          <w:sz w:val="32"/>
          <w:szCs w:val="32"/>
        </w:rPr>
        <w:t>一是</w:t>
      </w:r>
      <w:r>
        <w:rPr>
          <w:rFonts w:ascii="方正仿宋_GBK" w:hAnsi="方正仿宋_GBK" w:eastAsia="方正仿宋_GBK" w:cs="方正仿宋_GBK"/>
          <w:sz w:val="32"/>
          <w:szCs w:val="32"/>
        </w:rPr>
        <w:t>2022年末受疫情影响事业人员目标绩效和平时考核部分今年初才发放到位；</w:t>
      </w:r>
      <w:r>
        <w:rPr>
          <w:rFonts w:ascii="方正仿宋_GBK" w:hAnsi="方正仿宋_GBK" w:eastAsia="方正仿宋_GBK" w:cs="方正仿宋_GBK"/>
          <w:b/>
          <w:bCs/>
          <w:sz w:val="32"/>
          <w:szCs w:val="32"/>
        </w:rPr>
        <w:t>二是</w:t>
      </w:r>
      <w:r>
        <w:rPr>
          <w:rFonts w:ascii="方正仿宋_GBK" w:hAnsi="方正仿宋_GBK" w:eastAsia="方正仿宋_GBK" w:cs="方正仿宋_GBK"/>
          <w:sz w:val="32"/>
          <w:szCs w:val="32"/>
        </w:rPr>
        <w:t>年末财政补拨付2014年10月—2016年12月职业年金单位应缴部分13.38万元；</w:t>
      </w:r>
      <w:r>
        <w:rPr>
          <w:rFonts w:ascii="方正仿宋_GBK" w:hAnsi="方正仿宋_GBK" w:eastAsia="方正仿宋_GBK" w:cs="方正仿宋_GBK"/>
          <w:b/>
          <w:bCs/>
          <w:color w:val="000000"/>
          <w:sz w:val="32"/>
          <w:szCs w:val="32"/>
          <w:shd w:val="clear" w:color="auto" w:fill="FFFFFF"/>
        </w:rPr>
        <w:t>三是</w:t>
      </w:r>
      <w:r>
        <w:rPr>
          <w:rFonts w:ascii="方正仿宋_GBK" w:hAnsi="方正仿宋_GBK" w:eastAsia="方正仿宋_GBK" w:cs="方正仿宋_GBK"/>
          <w:color w:val="000000"/>
          <w:sz w:val="32"/>
          <w:szCs w:val="32"/>
          <w:shd w:val="clear" w:color="auto" w:fill="FFFFFF"/>
        </w:rPr>
        <w:t>在职人员晋档晋级工资增加；</w:t>
      </w:r>
      <w:r>
        <w:rPr>
          <w:rFonts w:ascii="方正仿宋_GBK" w:hAnsi="方正仿宋_GBK" w:eastAsia="方正仿宋_GBK" w:cs="方正仿宋_GBK"/>
          <w:b/>
          <w:bCs/>
          <w:sz w:val="32"/>
          <w:szCs w:val="32"/>
        </w:rPr>
        <w:t>四是</w:t>
      </w:r>
      <w:r>
        <w:rPr>
          <w:rFonts w:ascii="方正仿宋_GBK" w:hAnsi="方正仿宋_GBK" w:eastAsia="方正仿宋_GBK" w:cs="方正仿宋_GBK"/>
          <w:sz w:val="32"/>
          <w:szCs w:val="32"/>
        </w:rPr>
        <w:t>今年新招录职工8人。项目支出增加原因：是年中追拨了聘用人员劳务费及社保费。</w:t>
      </w:r>
    </w:p>
    <w:p>
      <w:pPr>
        <w:pStyle w:val="13"/>
        <w:autoSpaceDE w:val="0"/>
        <w:adjustRightInd w:val="0"/>
        <w:snapToGrid w:val="0"/>
        <w:spacing w:line="600" w:lineRule="exact"/>
        <w:ind w:firstLine="643"/>
        <w:jc w:val="both"/>
        <w:rPr>
          <w:rFonts w:hint="eastAsia" w:ascii="方正楷体简体" w:hAnsi="楷体" w:eastAsia="方正楷体简体" w:cs="楷体"/>
          <w:b/>
          <w:bCs/>
          <w:sz w:val="32"/>
          <w:szCs w:val="32"/>
          <w:shd w:val="clear" w:color="auto" w:fill="FFFFFF"/>
        </w:rPr>
      </w:pPr>
      <w:r>
        <w:rPr>
          <w:rFonts w:hint="eastAsia" w:ascii="方正楷体简体" w:hAnsi="楷体" w:eastAsia="方正楷体简体" w:cs="楷体"/>
          <w:b/>
          <w:bCs/>
          <w:sz w:val="32"/>
          <w:szCs w:val="32"/>
          <w:shd w:val="clear" w:color="auto" w:fill="FFFFFF"/>
        </w:rPr>
        <w:t>（三）一般公共预算财政拨款收入支出决算情况说明</w:t>
      </w:r>
    </w:p>
    <w:p>
      <w:pPr>
        <w:adjustRightInd w:val="0"/>
        <w:snapToGrid w:val="0"/>
        <w:spacing w:line="600" w:lineRule="exact"/>
        <w:ind w:firstLine="642" w:firstLineChars="200"/>
        <w:jc w:val="both"/>
        <w:rPr>
          <w:rFonts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1489.51</w:t>
      </w:r>
      <w:r>
        <w:rPr>
          <w:rFonts w:ascii="方正仿宋_GBK" w:hAnsi="方正仿宋_GBK" w:eastAsia="方正仿宋_GBK" w:cs="方正仿宋_GBK"/>
          <w:sz w:val="32"/>
          <w:szCs w:val="32"/>
          <w:shd w:val="clear" w:color="auto" w:fill="FFFFFF"/>
        </w:rPr>
        <w:t>万元，较上年决算数增加190.68万元，增长14.68%。</w:t>
      </w:r>
      <w:r>
        <w:rPr>
          <w:rFonts w:ascii="方正仿宋_GBK" w:hAnsi="方正仿宋_GBK" w:eastAsia="方正仿宋_GBK" w:cs="方正仿宋_GBK"/>
          <w:sz w:val="32"/>
          <w:szCs w:val="32"/>
        </w:rPr>
        <w:t>基本支出增加原因：</w:t>
      </w:r>
      <w:r>
        <w:rPr>
          <w:rFonts w:ascii="方正仿宋_GBK" w:hAnsi="方正仿宋_GBK" w:eastAsia="方正仿宋_GBK" w:cs="方正仿宋_GBK"/>
          <w:b/>
          <w:bCs/>
          <w:sz w:val="32"/>
          <w:szCs w:val="32"/>
        </w:rPr>
        <w:t>一是</w:t>
      </w:r>
      <w:r>
        <w:rPr>
          <w:rFonts w:ascii="方正仿宋_GBK" w:hAnsi="方正仿宋_GBK" w:eastAsia="方正仿宋_GBK" w:cs="方正仿宋_GBK"/>
          <w:sz w:val="32"/>
          <w:szCs w:val="32"/>
        </w:rPr>
        <w:t>2022年末受疫情影响事业人员目标绩效和平时考核部分本年初才发放到位；</w:t>
      </w:r>
      <w:r>
        <w:rPr>
          <w:rFonts w:ascii="方正仿宋_GBK" w:hAnsi="方正仿宋_GBK" w:eastAsia="方正仿宋_GBK" w:cs="方正仿宋_GBK"/>
          <w:b/>
          <w:bCs/>
          <w:sz w:val="32"/>
          <w:szCs w:val="32"/>
        </w:rPr>
        <w:t>二是</w:t>
      </w:r>
      <w:r>
        <w:rPr>
          <w:rFonts w:ascii="方正仿宋_GBK" w:hAnsi="方正仿宋_GBK" w:eastAsia="方正仿宋_GBK" w:cs="方正仿宋_GBK"/>
          <w:sz w:val="32"/>
          <w:szCs w:val="32"/>
        </w:rPr>
        <w:t>年末财政补拨付2014年10月—2016年12月职业年金单位应缴部分13.38万元；</w:t>
      </w:r>
      <w:r>
        <w:rPr>
          <w:rFonts w:ascii="方正仿宋_GBK" w:hAnsi="方正仿宋_GBK" w:eastAsia="方正仿宋_GBK" w:cs="方正仿宋_GBK"/>
          <w:b/>
          <w:bCs/>
          <w:color w:val="000000"/>
          <w:sz w:val="32"/>
          <w:szCs w:val="32"/>
          <w:shd w:val="clear" w:color="auto" w:fill="FFFFFF"/>
        </w:rPr>
        <w:t>三是</w:t>
      </w:r>
      <w:r>
        <w:rPr>
          <w:rFonts w:ascii="方正仿宋_GBK" w:hAnsi="方正仿宋_GBK" w:eastAsia="方正仿宋_GBK" w:cs="方正仿宋_GBK"/>
          <w:color w:val="000000"/>
          <w:sz w:val="32"/>
          <w:szCs w:val="32"/>
          <w:shd w:val="clear" w:color="auto" w:fill="FFFFFF"/>
        </w:rPr>
        <w:t>在职人员晋档晋级工资增加；</w:t>
      </w:r>
      <w:r>
        <w:rPr>
          <w:rFonts w:ascii="方正仿宋_GBK" w:hAnsi="方正仿宋_GBK" w:eastAsia="方正仿宋_GBK" w:cs="方正仿宋_GBK"/>
          <w:b/>
          <w:bCs/>
          <w:sz w:val="32"/>
          <w:szCs w:val="32"/>
        </w:rPr>
        <w:t>四是</w:t>
      </w:r>
      <w:r>
        <w:rPr>
          <w:rFonts w:ascii="方正仿宋_GBK" w:hAnsi="方正仿宋_GBK" w:eastAsia="方正仿宋_GBK" w:cs="方正仿宋_GBK"/>
          <w:sz w:val="32"/>
          <w:szCs w:val="32"/>
        </w:rPr>
        <w:t>今年新招录职工8人。项目支出增加原因：是年中追拨了聘用人员劳务费及社保费。</w:t>
      </w:r>
      <w:r>
        <w:rPr>
          <w:rFonts w:ascii="方正仿宋_GBK" w:hAnsi="方正仿宋_GBK" w:eastAsia="方正仿宋_GBK" w:cs="方正仿宋_GBK"/>
          <w:sz w:val="32"/>
          <w:szCs w:val="32"/>
          <w:shd w:val="clear" w:color="auto" w:fill="FFFFFF"/>
        </w:rPr>
        <w:t>较年初预算数增加202.59万元，增长15.74%。</w:t>
      </w:r>
      <w:r>
        <w:rPr>
          <w:rFonts w:ascii="方正仿宋_GBK" w:hAnsi="方正仿宋_GBK" w:eastAsia="方正仿宋_GBK" w:cs="方正仿宋_GBK"/>
          <w:sz w:val="32"/>
          <w:szCs w:val="32"/>
        </w:rPr>
        <w:t>职业年金增加15.24万元、事业单位医疗增加1.72万元、机关事业单位养老保险、住房公积金分别减少0.27万元、0.21万元，事业单位离退休费增加4.83万元，死亡抚恤增加7.53万元，广播电视事务增加120.85万元等。</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adjustRightInd w:val="0"/>
        <w:snapToGrid w:val="0"/>
        <w:spacing w:line="600" w:lineRule="exact"/>
        <w:ind w:firstLine="642" w:firstLineChars="200"/>
        <w:jc w:val="both"/>
        <w:rPr>
          <w:rFonts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1489.51</w:t>
      </w:r>
      <w:r>
        <w:rPr>
          <w:rFonts w:ascii="方正仿宋_GBK" w:hAnsi="方正仿宋_GBK" w:eastAsia="方正仿宋_GBK" w:cs="方正仿宋_GBK"/>
          <w:sz w:val="32"/>
          <w:szCs w:val="32"/>
          <w:shd w:val="clear" w:color="auto" w:fill="FFFFFF"/>
        </w:rPr>
        <w:t>万元，较上年决算数增加190.68万元，增长14.68%。</w:t>
      </w:r>
      <w:r>
        <w:rPr>
          <w:rFonts w:ascii="方正仿宋_GBK" w:hAnsi="方正仿宋_GBK" w:eastAsia="方正仿宋_GBK" w:cs="方正仿宋_GBK"/>
          <w:b/>
          <w:bCs/>
          <w:sz w:val="32"/>
          <w:szCs w:val="32"/>
        </w:rPr>
        <w:t>一是</w:t>
      </w:r>
      <w:r>
        <w:rPr>
          <w:rFonts w:ascii="方正仿宋_GBK" w:hAnsi="方正仿宋_GBK" w:eastAsia="方正仿宋_GBK" w:cs="方正仿宋_GBK"/>
          <w:sz w:val="32"/>
          <w:szCs w:val="32"/>
        </w:rPr>
        <w:t>2022年末受疫情影响事业人员目标绩效和平时考核部分本年初才发放到位；</w:t>
      </w:r>
      <w:r>
        <w:rPr>
          <w:rFonts w:ascii="方正仿宋_GBK" w:hAnsi="方正仿宋_GBK" w:eastAsia="方正仿宋_GBK" w:cs="方正仿宋_GBK"/>
          <w:b/>
          <w:bCs/>
          <w:sz w:val="32"/>
          <w:szCs w:val="32"/>
        </w:rPr>
        <w:t>二是</w:t>
      </w:r>
      <w:r>
        <w:rPr>
          <w:rFonts w:ascii="方正仿宋_GBK" w:hAnsi="方正仿宋_GBK" w:eastAsia="方正仿宋_GBK" w:cs="方正仿宋_GBK"/>
          <w:sz w:val="32"/>
          <w:szCs w:val="32"/>
        </w:rPr>
        <w:t>年末财政补拨付2014年10月—2016年12月职业年金单位应缴部分13.38万元；</w:t>
      </w:r>
      <w:r>
        <w:rPr>
          <w:rFonts w:ascii="方正仿宋_GBK" w:hAnsi="方正仿宋_GBK" w:eastAsia="方正仿宋_GBK" w:cs="方正仿宋_GBK"/>
          <w:b/>
          <w:bCs/>
          <w:color w:val="000000"/>
          <w:sz w:val="32"/>
          <w:szCs w:val="32"/>
          <w:shd w:val="clear" w:color="auto" w:fill="FFFFFF"/>
        </w:rPr>
        <w:t>三是</w:t>
      </w:r>
      <w:r>
        <w:rPr>
          <w:rFonts w:ascii="方正仿宋_GBK" w:hAnsi="方正仿宋_GBK" w:eastAsia="方正仿宋_GBK" w:cs="方正仿宋_GBK"/>
          <w:color w:val="000000"/>
          <w:sz w:val="32"/>
          <w:szCs w:val="32"/>
          <w:shd w:val="clear" w:color="auto" w:fill="FFFFFF"/>
        </w:rPr>
        <w:t>在职人员晋档晋级工资增加；</w:t>
      </w:r>
      <w:r>
        <w:rPr>
          <w:rFonts w:ascii="方正仿宋_GBK" w:hAnsi="方正仿宋_GBK" w:eastAsia="方正仿宋_GBK" w:cs="方正仿宋_GBK"/>
          <w:b/>
          <w:bCs/>
          <w:sz w:val="32"/>
          <w:szCs w:val="32"/>
        </w:rPr>
        <w:t>四是</w:t>
      </w:r>
      <w:r>
        <w:rPr>
          <w:rFonts w:ascii="方正仿宋_GBK" w:hAnsi="方正仿宋_GBK" w:eastAsia="方正仿宋_GBK" w:cs="方正仿宋_GBK"/>
          <w:sz w:val="32"/>
          <w:szCs w:val="32"/>
        </w:rPr>
        <w:t>今年新招录职工8人。项目支出增加原因：是年中追拨了聘用人员劳务费及社保费。</w:t>
      </w:r>
      <w:r>
        <w:rPr>
          <w:rFonts w:ascii="方正仿宋_GBK" w:hAnsi="方正仿宋_GBK" w:eastAsia="方正仿宋_GBK" w:cs="方正仿宋_GBK"/>
          <w:sz w:val="32"/>
          <w:szCs w:val="32"/>
          <w:shd w:val="clear" w:color="auto" w:fill="FFFFFF"/>
        </w:rPr>
        <w:t>较年初预算数增加202.59万元，增长15.74%。主要原因是</w:t>
      </w:r>
      <w:r>
        <w:rPr>
          <w:rFonts w:ascii="方正仿宋_GBK" w:hAnsi="方正仿宋_GBK" w:eastAsia="方正仿宋_GBK" w:cs="方正仿宋_GBK"/>
          <w:sz w:val="32"/>
          <w:szCs w:val="32"/>
        </w:rPr>
        <w:t>职业年金增加15.24万元、事业单位医疗增加1.72万元、机关事业单位养老保险、住房公积金分别减少0.27万元、0.21万元，事业单位离退休费增加4.83万元，死亡抚恤增加7.53万元，广播电视事务增加120.85万元等。</w:t>
      </w:r>
    </w:p>
    <w:p>
      <w:pPr>
        <w:widowControl w:val="0"/>
        <w:autoSpaceDE w:val="0"/>
        <w:adjustRightInd w:val="0"/>
        <w:snapToGrid w:val="0"/>
        <w:spacing w:line="600" w:lineRule="exact"/>
        <w:ind w:firstLine="642" w:firstLineChars="200"/>
        <w:jc w:val="both"/>
        <w:rPr>
          <w:rFonts w:ascii="方正仿宋_GBK" w:hAnsi="方正仿宋_GBK" w:eastAsia="方正仿宋_GBK" w:cs="方正仿宋_GBK"/>
          <w:color w:val="000000"/>
          <w:sz w:val="32"/>
          <w:szCs w:val="32"/>
          <w:shd w:val="clear" w:color="auto" w:fill="FFFFFF"/>
        </w:rPr>
      </w:pPr>
      <w:r>
        <w:rPr>
          <w:rStyle w:val="12"/>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color w:val="000000"/>
          <w:sz w:val="32"/>
          <w:szCs w:val="32"/>
          <w:shd w:val="clear" w:color="auto" w:fill="FFFFFF"/>
        </w:rPr>
        <w:t>2023年度年末一般公共预算财政拨款结转和结余0</w:t>
      </w:r>
      <w:r>
        <w:rPr>
          <w:rFonts w:hint="eastAsia" w:ascii="方正仿宋_GBK" w:hAnsi="方正仿宋_GBK" w:eastAsia="方正仿宋_GBK" w:cs="方正仿宋_GBK"/>
          <w:color w:val="000000"/>
          <w:sz w:val="32"/>
          <w:szCs w:val="32"/>
          <w:shd w:val="clear" w:color="auto" w:fill="FFFFFF"/>
          <w:lang w:val="en-US" w:eastAsia="zh-CN"/>
        </w:rPr>
        <w:t>.00</w:t>
      </w:r>
      <w:r>
        <w:rPr>
          <w:rFonts w:ascii="方正仿宋_GBK" w:hAnsi="方正仿宋_GBK" w:eastAsia="方正仿宋_GBK" w:cs="方正仿宋_GBK"/>
          <w:color w:val="000000"/>
          <w:sz w:val="32"/>
          <w:szCs w:val="32"/>
          <w:shd w:val="clear" w:color="auto" w:fill="FFFFFF"/>
        </w:rPr>
        <w:t>万元，较上年决算数增加0万元，增长0%。</w:t>
      </w:r>
    </w:p>
    <w:p>
      <w:pPr>
        <w:pStyle w:val="8"/>
        <w:adjustRightInd w:val="0"/>
        <w:snapToGrid w:val="0"/>
        <w:spacing w:before="0" w:beforeAutospacing="0" w:after="0" w:afterAutospacing="0" w:line="600" w:lineRule="exact"/>
        <w:ind w:firstLine="642" w:firstLineChars="200"/>
        <w:jc w:val="both"/>
        <w:rPr>
          <w:rFonts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val="en-US" w:eastAsia="zh-CN"/>
        </w:rPr>
        <w:t>部门</w:t>
      </w:r>
      <w:r>
        <w:rPr>
          <w:rFonts w:ascii="方正仿宋_GBK" w:hAnsi="方正仿宋_GBK" w:eastAsia="方正仿宋_GBK" w:cs="方正仿宋_GBK"/>
          <w:sz w:val="32"/>
          <w:szCs w:val="32"/>
          <w:shd w:val="clear" w:color="auto" w:fill="FFFFFF"/>
        </w:rPr>
        <w:t>2023年度一般公共预算财政拨款支出主要用于以下几个方面：</w:t>
      </w:r>
    </w:p>
    <w:p>
      <w:pPr>
        <w:pStyle w:val="8"/>
        <w:adjustRightInd w:val="0"/>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（1）文化旅游体育与传媒支出</w:t>
      </w:r>
      <w:r>
        <w:rPr>
          <w:rFonts w:ascii="方正仿宋_GBK" w:hAnsi="方正仿宋_GBK" w:eastAsia="方正仿宋_GBK" w:cs="方正仿宋_GBK"/>
          <w:sz w:val="32"/>
          <w:szCs w:val="32"/>
        </w:rPr>
        <w:t>1251.55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84.02</w:t>
      </w:r>
      <w:r>
        <w:rPr>
          <w:rFonts w:ascii="方正仿宋_GBK" w:hAnsi="方正仿宋_GBK" w:eastAsia="方正仿宋_GBK" w:cs="方正仿宋_GBK"/>
          <w:sz w:val="32"/>
          <w:szCs w:val="32"/>
          <w:shd w:val="clear" w:color="auto" w:fill="FFFFFF"/>
        </w:rPr>
        <w:t>%，较年初预算数增加177.28万元，增长16.50%，主要原因</w:t>
      </w:r>
      <w:r>
        <w:rPr>
          <w:rFonts w:ascii="方正仿宋_GBK" w:hAnsi="方正仿宋_GBK" w:eastAsia="方正仿宋_GBK" w:cs="方正仿宋_GBK"/>
          <w:b/>
          <w:bCs/>
          <w:sz w:val="32"/>
          <w:szCs w:val="32"/>
          <w:shd w:val="clear" w:color="auto" w:fill="FFFFFF"/>
        </w:rPr>
        <w:t>一是</w:t>
      </w:r>
      <w:r>
        <w:rPr>
          <w:rFonts w:ascii="方正仿宋_GBK" w:hAnsi="方正仿宋_GBK" w:eastAsia="方正仿宋_GBK" w:cs="方正仿宋_GBK"/>
          <w:color w:val="000000"/>
          <w:sz w:val="32"/>
          <w:szCs w:val="32"/>
          <w:shd w:val="clear" w:color="auto" w:fill="FFFFFF"/>
        </w:rPr>
        <w:t>在职人员晋档晋级工资增加；</w:t>
      </w:r>
      <w:r>
        <w:rPr>
          <w:rFonts w:ascii="方正仿宋_GBK" w:hAnsi="方正仿宋_GBK" w:eastAsia="方正仿宋_GBK" w:cs="方正仿宋_GBK"/>
          <w:b/>
          <w:bCs/>
          <w:sz w:val="32"/>
          <w:szCs w:val="32"/>
        </w:rPr>
        <w:t>二是</w:t>
      </w:r>
      <w:r>
        <w:rPr>
          <w:rFonts w:ascii="方正仿宋_GBK" w:hAnsi="方正仿宋_GBK" w:eastAsia="方正仿宋_GBK" w:cs="方正仿宋_GBK"/>
          <w:sz w:val="32"/>
          <w:szCs w:val="32"/>
        </w:rPr>
        <w:t>今年新招录职工8人，</w:t>
      </w:r>
      <w:r>
        <w:rPr>
          <w:rFonts w:ascii="方正仿宋_GBK" w:hAnsi="方正仿宋_GBK" w:eastAsia="方正仿宋_GBK" w:cs="方正仿宋_GBK"/>
          <w:b/>
          <w:bCs/>
          <w:sz w:val="32"/>
          <w:szCs w:val="32"/>
        </w:rPr>
        <w:t>三是</w:t>
      </w:r>
      <w:r>
        <w:rPr>
          <w:rFonts w:ascii="方正仿宋_GBK" w:hAnsi="方正仿宋_GBK" w:eastAsia="方正仿宋_GBK" w:cs="方正仿宋_GBK"/>
          <w:sz w:val="32"/>
          <w:szCs w:val="32"/>
        </w:rPr>
        <w:t>项目增加68.03万元。</w:t>
      </w:r>
    </w:p>
    <w:p>
      <w:pPr>
        <w:pStyle w:val="20"/>
        <w:adjustRightInd w:val="0"/>
        <w:snapToGrid w:val="0"/>
        <w:spacing w:line="600" w:lineRule="exact"/>
        <w:ind w:firstLine="640"/>
        <w:jc w:val="both"/>
        <w:rPr>
          <w:rFonts w:ascii="方正仿宋_GBK" w:hAnsi="方正仿宋_GBK" w:cs="方正仿宋_GBK"/>
          <w:szCs w:val="32"/>
        </w:rPr>
      </w:pPr>
      <w:r>
        <w:rPr>
          <w:rFonts w:ascii="方正仿宋_GBK" w:hAnsi="方正仿宋_GBK" w:cs="方正仿宋_GBK"/>
          <w:szCs w:val="32"/>
          <w:shd w:val="clear" w:color="auto" w:fill="FFFFFF"/>
        </w:rPr>
        <w:t>（2）社会保障与就业支出</w:t>
      </w:r>
      <w:r>
        <w:rPr>
          <w:rFonts w:ascii="方正仿宋_GBK" w:hAnsi="方正仿宋_GBK" w:cs="方正仿宋_GBK"/>
          <w:szCs w:val="32"/>
        </w:rPr>
        <w:t>155.04</w:t>
      </w:r>
      <w:r>
        <w:rPr>
          <w:rFonts w:ascii="方正仿宋_GBK" w:hAnsi="方正仿宋_GBK" w:cs="方正仿宋_GBK"/>
          <w:szCs w:val="32"/>
          <w:shd w:val="clear" w:color="auto" w:fill="FFFFFF"/>
        </w:rPr>
        <w:t>万元，占</w:t>
      </w:r>
      <w:r>
        <w:rPr>
          <w:rFonts w:ascii="方正仿宋_GBK" w:hAnsi="方正仿宋_GBK" w:cs="方正仿宋_GBK"/>
          <w:szCs w:val="32"/>
        </w:rPr>
        <w:t>10.41</w:t>
      </w:r>
      <w:r>
        <w:rPr>
          <w:rFonts w:ascii="方正仿宋_GBK" w:hAnsi="方正仿宋_GBK" w:cs="方正仿宋_GBK"/>
          <w:szCs w:val="32"/>
          <w:shd w:val="clear" w:color="auto" w:fill="FFFFFF"/>
        </w:rPr>
        <w:t>%，较年初预算数增加25.31万元，增长19.51%，</w:t>
      </w:r>
      <w:r>
        <w:rPr>
          <w:rFonts w:ascii="方正仿宋_GBK" w:hAnsi="方正仿宋_GBK" w:cs="方正仿宋_GBK"/>
          <w:szCs w:val="32"/>
        </w:rPr>
        <w:t>比去年同期127.71万元增加27.33万元，增加原因是年末财政补拨付2014年10月—2016年12月职业年金单位应缴部分13.38万元。</w:t>
      </w:r>
    </w:p>
    <w:p>
      <w:pPr>
        <w:widowControl w:val="0"/>
        <w:autoSpaceDE w:val="0"/>
        <w:adjustRightInd w:val="0"/>
        <w:snapToGrid w:val="0"/>
        <w:spacing w:line="600" w:lineRule="exact"/>
        <w:ind w:firstLine="640" w:firstLineChars="200"/>
        <w:jc w:val="both"/>
        <w:rPr>
          <w:rFonts w:ascii="方正仿宋_GBK" w:hAnsi="方正仿宋_GBK" w:eastAsia="方正仿宋_GBK" w:cs="方正仿宋_GBK"/>
          <w:color w:val="000000"/>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37.69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000000"/>
          <w:sz w:val="32"/>
          <w:szCs w:val="32"/>
          <w:shd w:val="clear" w:color="auto" w:fill="FFFFFF"/>
        </w:rPr>
        <w:t>较年初预算数增加0万元，增长0%，与年初预算数持平。</w:t>
      </w:r>
    </w:p>
    <w:p>
      <w:pPr>
        <w:widowControl w:val="0"/>
        <w:autoSpaceDE w:val="0"/>
        <w:adjustRightInd w:val="0"/>
        <w:snapToGrid w:val="0"/>
        <w:spacing w:line="600" w:lineRule="exact"/>
        <w:ind w:firstLine="640" w:firstLineChars="200"/>
        <w:jc w:val="both"/>
        <w:rPr>
          <w:rFonts w:ascii="方正仿宋_GBK" w:hAnsi="方正仿宋_GBK" w:eastAsia="方正仿宋_GBK" w:cs="方正仿宋_GBK"/>
          <w:color w:val="000000"/>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住房保障支出45.23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000000"/>
          <w:sz w:val="32"/>
          <w:szCs w:val="32"/>
          <w:shd w:val="clear" w:color="auto" w:fill="FFFFFF"/>
        </w:rPr>
        <w:t>较年初预算数增加0万元，增长0%，与年初预算数持平。</w:t>
      </w:r>
    </w:p>
    <w:p>
      <w:pPr>
        <w:pStyle w:val="13"/>
        <w:autoSpaceDE w:val="0"/>
        <w:adjustRightInd w:val="0"/>
        <w:snapToGrid w:val="0"/>
        <w:spacing w:line="600" w:lineRule="exact"/>
        <w:ind w:firstLine="643"/>
        <w:jc w:val="both"/>
        <w:rPr>
          <w:rFonts w:hint="eastAsia" w:ascii="方正楷体简体" w:hAnsi="楷体" w:eastAsia="方正楷体简体" w:cs="楷体"/>
          <w:b/>
          <w:bCs/>
          <w:sz w:val="32"/>
          <w:szCs w:val="32"/>
          <w:shd w:val="clear" w:color="auto" w:fill="FFFFFF"/>
        </w:rPr>
      </w:pPr>
      <w:r>
        <w:rPr>
          <w:rFonts w:hint="eastAsia" w:ascii="方正楷体简体" w:hAnsi="楷体" w:eastAsia="方正楷体简体" w:cs="楷体"/>
          <w:b/>
          <w:bCs/>
          <w:sz w:val="32"/>
          <w:szCs w:val="32"/>
          <w:shd w:val="clear" w:color="auto" w:fill="FFFFFF"/>
        </w:rPr>
        <w:t>（四）一般公共预算财政拨款基本支出决算情况说明</w:t>
      </w:r>
    </w:p>
    <w:p>
      <w:pPr>
        <w:widowControl w:val="0"/>
        <w:autoSpaceDE w:val="0"/>
        <w:adjustRightInd w:val="0"/>
        <w:snapToGrid w:val="0"/>
        <w:spacing w:line="600" w:lineRule="exact"/>
        <w:ind w:firstLine="640" w:firstLineChars="200"/>
        <w:jc w:val="both"/>
        <w:rPr>
          <w:rFonts w:ascii="方正仿宋_GBK" w:hAnsi="方正仿宋_GBK" w:eastAsia="方正仿宋_GBK" w:cs="方正仿宋_GBK"/>
          <w:color w:val="000000"/>
          <w:sz w:val="32"/>
          <w:szCs w:val="32"/>
          <w:shd w:val="clear" w:color="auto" w:fill="FFFFFF"/>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951.68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880.88</w:t>
      </w:r>
      <w:r>
        <w:rPr>
          <w:rFonts w:ascii="方正仿宋_GBK" w:hAnsi="方正仿宋_GBK" w:eastAsia="方正仿宋_GBK" w:cs="方正仿宋_GBK"/>
          <w:sz w:val="32"/>
          <w:szCs w:val="32"/>
          <w:shd w:val="clear" w:color="auto" w:fill="FFFFFF"/>
        </w:rPr>
        <w:t>万元，较上年决算数增加130.06万元，增长17.32%，</w:t>
      </w:r>
      <w:r>
        <w:rPr>
          <w:rFonts w:ascii="方正仿宋_GBK" w:hAnsi="方正仿宋_GBK" w:eastAsia="方正仿宋_GBK" w:cs="方正仿宋_GBK"/>
          <w:sz w:val="32"/>
          <w:szCs w:val="32"/>
        </w:rPr>
        <w:t>人员经费增加原因：</w:t>
      </w:r>
      <w:r>
        <w:rPr>
          <w:rFonts w:ascii="方正仿宋_GBK" w:hAnsi="方正仿宋_GBK" w:eastAsia="方正仿宋_GBK" w:cs="方正仿宋_GBK"/>
          <w:b/>
          <w:bCs/>
          <w:sz w:val="32"/>
          <w:szCs w:val="32"/>
        </w:rPr>
        <w:t>一是</w:t>
      </w:r>
      <w:r>
        <w:rPr>
          <w:rFonts w:ascii="方正仿宋_GBK" w:hAnsi="方正仿宋_GBK" w:eastAsia="方正仿宋_GBK" w:cs="方正仿宋_GBK"/>
          <w:sz w:val="32"/>
          <w:szCs w:val="32"/>
        </w:rPr>
        <w:t>去年末受疫情影响事业人员目标绩效和日常考核部分今年初才发放到位；</w:t>
      </w:r>
      <w:r>
        <w:rPr>
          <w:rFonts w:ascii="方正仿宋_GBK" w:hAnsi="方正仿宋_GBK" w:eastAsia="方正仿宋_GBK" w:cs="方正仿宋_GBK"/>
          <w:b/>
          <w:bCs/>
          <w:sz w:val="32"/>
          <w:szCs w:val="32"/>
        </w:rPr>
        <w:t>二是</w:t>
      </w:r>
      <w:r>
        <w:rPr>
          <w:rFonts w:ascii="方正仿宋_GBK" w:hAnsi="方正仿宋_GBK" w:eastAsia="方正仿宋_GBK" w:cs="方正仿宋_GBK"/>
          <w:sz w:val="32"/>
          <w:szCs w:val="32"/>
        </w:rPr>
        <w:t>年末财政补拨付2014年10月—2016年12月职业年金单位应缴部分13.38万元；</w:t>
      </w:r>
      <w:r>
        <w:rPr>
          <w:rFonts w:ascii="方正仿宋_GBK" w:hAnsi="方正仿宋_GBK" w:eastAsia="方正仿宋_GBK" w:cs="方正仿宋_GBK"/>
          <w:b/>
          <w:bCs/>
          <w:sz w:val="32"/>
          <w:szCs w:val="32"/>
        </w:rPr>
        <w:t>三是</w:t>
      </w:r>
      <w:r>
        <w:rPr>
          <w:rFonts w:ascii="方正仿宋_GBK" w:hAnsi="方正仿宋_GBK" w:eastAsia="方正仿宋_GBK" w:cs="方正仿宋_GBK"/>
          <w:sz w:val="32"/>
          <w:szCs w:val="32"/>
        </w:rPr>
        <w:t>今年新招录职工8人；</w:t>
      </w:r>
      <w:r>
        <w:rPr>
          <w:rFonts w:ascii="方正仿宋_GBK" w:hAnsi="方正仿宋_GBK" w:eastAsia="方正仿宋_GBK" w:cs="方正仿宋_GBK"/>
          <w:b/>
          <w:bCs/>
          <w:sz w:val="32"/>
          <w:szCs w:val="32"/>
        </w:rPr>
        <w:t>四</w:t>
      </w:r>
      <w:r>
        <w:rPr>
          <w:rFonts w:ascii="方正仿宋_GBK" w:hAnsi="方正仿宋_GBK" w:eastAsia="方正仿宋_GBK" w:cs="方正仿宋_GBK"/>
          <w:b/>
          <w:bCs/>
          <w:color w:val="000000"/>
          <w:sz w:val="32"/>
          <w:szCs w:val="32"/>
          <w:shd w:val="clear" w:color="auto" w:fill="FFFFFF"/>
        </w:rPr>
        <w:t>是</w:t>
      </w:r>
      <w:r>
        <w:rPr>
          <w:rFonts w:ascii="方正仿宋_GBK" w:hAnsi="方正仿宋_GBK" w:eastAsia="方正仿宋_GBK" w:cs="方正仿宋_GBK"/>
          <w:color w:val="000000"/>
          <w:sz w:val="32"/>
          <w:szCs w:val="32"/>
          <w:shd w:val="clear" w:color="auto" w:fill="FFFFFF"/>
        </w:rPr>
        <w:t>在职人员晋档晋级工资增加</w:t>
      </w:r>
      <w:r>
        <w:rPr>
          <w:rFonts w:ascii="方正仿宋_GBK" w:hAnsi="方正仿宋_GBK" w:eastAsia="方正仿宋_GBK" w:cs="方正仿宋_GBK"/>
          <w:sz w:val="32"/>
          <w:szCs w:val="32"/>
        </w:rPr>
        <w:t>。</w:t>
      </w:r>
      <w:r>
        <w:rPr>
          <w:rFonts w:ascii="方正仿宋_GBK" w:hAnsi="方正仿宋_GBK" w:eastAsia="方正仿宋_GBK" w:cs="方正仿宋_GBK"/>
          <w:sz w:val="32"/>
          <w:szCs w:val="32"/>
          <w:shd w:val="clear" w:color="auto" w:fill="FFFFFF"/>
        </w:rPr>
        <w:t>人员经费用途主要包括</w:t>
      </w:r>
      <w:r>
        <w:rPr>
          <w:rFonts w:ascii="方正仿宋_GBK" w:hAnsi="方正仿宋_GBK" w:eastAsia="方正仿宋_GBK" w:cs="方正仿宋_GBK"/>
          <w:color w:val="000000"/>
          <w:sz w:val="32"/>
          <w:szCs w:val="32"/>
          <w:shd w:val="clear" w:color="auto" w:fill="FFFFFF"/>
        </w:rPr>
        <w:t>人员经费用途主要包括工资福利支出和对个人和家庭的补助支出两方面，具体包括基本工资204.47万元、津贴补贴14.59万元、绩效工资431.88万元、机关事业单位基本养老保险费60.31万元、职业年金缴费45.53万元、职工基本医疗保险缴费37.69万元、住房公积金45.23万元、对个人和家庭的补助39.2万元。</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70.79</w:t>
      </w:r>
      <w:r>
        <w:rPr>
          <w:rFonts w:ascii="方正仿宋_GBK" w:hAnsi="方正仿宋_GBK" w:eastAsia="方正仿宋_GBK" w:cs="方正仿宋_GBK"/>
          <w:sz w:val="32"/>
          <w:szCs w:val="32"/>
          <w:shd w:val="clear" w:color="auto" w:fill="FFFFFF"/>
        </w:rPr>
        <w:t>万元，较上年决算数减少7.41万元，下降9.48%，</w:t>
      </w:r>
      <w:r>
        <w:rPr>
          <w:rFonts w:ascii="方正仿宋_GBK" w:hAnsi="方正仿宋_GBK" w:eastAsia="方正仿宋_GBK" w:cs="方正仿宋_GBK"/>
          <w:sz w:val="32"/>
          <w:szCs w:val="32"/>
        </w:rPr>
        <w:t>公用经费减少主要原因：人均公用经费在去年基础上人均又减少了0.1万元。</w:t>
      </w:r>
      <w:r>
        <w:rPr>
          <w:rFonts w:ascii="方正仿宋_GBK" w:hAnsi="方正仿宋_GBK" w:eastAsia="方正仿宋_GBK" w:cs="方正仿宋_GBK"/>
          <w:sz w:val="32"/>
          <w:szCs w:val="32"/>
          <w:shd w:val="clear" w:color="auto" w:fill="FFFFFF"/>
        </w:rPr>
        <w:t>公用经费用途主要包括</w:t>
      </w:r>
      <w:r>
        <w:rPr>
          <w:rFonts w:ascii="方正仿宋_GBK" w:hAnsi="方正仿宋_GBK" w:eastAsia="方正仿宋_GBK" w:cs="方正仿宋_GBK"/>
          <w:color w:val="000000"/>
          <w:sz w:val="32"/>
          <w:szCs w:val="32"/>
          <w:shd w:val="clear" w:color="auto" w:fill="FFFFFF"/>
        </w:rPr>
        <w:t>办公费8.5万元、电费17.02万元、邮电费7.69万元、差旅费5.33万元、公务接待费3.65万元、劳务费2.11万元、公务用车运行维护费7.42万元、其他商品和服务支出4.43万元以及其他公用经费支出等。</w:t>
      </w:r>
    </w:p>
    <w:p>
      <w:pPr>
        <w:pStyle w:val="13"/>
        <w:autoSpaceDE w:val="0"/>
        <w:adjustRightInd w:val="0"/>
        <w:snapToGrid w:val="0"/>
        <w:spacing w:line="600" w:lineRule="exact"/>
        <w:ind w:firstLine="643"/>
        <w:jc w:val="both"/>
        <w:rPr>
          <w:rFonts w:hint="eastAsia" w:ascii="方正楷体简体" w:hAnsi="楷体" w:eastAsia="方正楷体简体" w:cs="楷体"/>
          <w:b/>
          <w:bCs/>
          <w:sz w:val="32"/>
          <w:szCs w:val="32"/>
          <w:shd w:val="clear" w:color="auto" w:fill="FFFFFF"/>
        </w:rPr>
      </w:pPr>
      <w:r>
        <w:rPr>
          <w:rFonts w:hint="eastAsia" w:ascii="方正楷体简体" w:hAnsi="楷体" w:eastAsia="方正楷体简体" w:cs="楷体"/>
          <w:b/>
          <w:bCs/>
          <w:sz w:val="32"/>
          <w:szCs w:val="32"/>
          <w:shd w:val="clear" w:color="auto" w:fill="FFFFFF"/>
        </w:rPr>
        <w:t>（五）政府性基金预算收支决算情况说明</w:t>
      </w:r>
    </w:p>
    <w:p>
      <w:pPr>
        <w:widowControl w:val="0"/>
        <w:autoSpaceDE w:val="0"/>
        <w:adjustRightInd w:val="0"/>
        <w:snapToGrid w:val="0"/>
        <w:spacing w:line="600" w:lineRule="exact"/>
        <w:ind w:firstLine="640" w:firstLineChars="200"/>
        <w:jc w:val="both"/>
        <w:rPr>
          <w:rFonts w:ascii="方正仿宋_GBK" w:hAnsi="方正仿宋_GBK" w:eastAsia="方正仿宋_GBK" w:cs="方正仿宋_GBK"/>
          <w:color w:val="000000"/>
          <w:sz w:val="32"/>
          <w:szCs w:val="32"/>
          <w:shd w:val="clear" w:color="auto" w:fill="FFFFFF"/>
        </w:rPr>
      </w:pPr>
      <w:r>
        <w:rPr>
          <w:rFonts w:ascii="方正仿宋_GBK" w:hAnsi="方正仿宋_GBK" w:eastAsia="方正仿宋_GBK" w:cs="方正仿宋_GBK"/>
          <w:color w:val="000000"/>
          <w:sz w:val="32"/>
          <w:szCs w:val="32"/>
          <w:shd w:val="clear" w:color="auto" w:fill="FFFFFF"/>
        </w:rPr>
        <w:t>本</w:t>
      </w:r>
      <w:r>
        <w:rPr>
          <w:rFonts w:hint="eastAsia" w:ascii="方正仿宋_GBK" w:hAnsi="方正仿宋_GBK" w:eastAsia="方正仿宋_GBK" w:cs="方正仿宋_GBK"/>
          <w:color w:val="000000"/>
          <w:sz w:val="32"/>
          <w:szCs w:val="32"/>
          <w:shd w:val="clear" w:color="auto" w:fill="FFFFFF"/>
          <w:lang w:val="en-US" w:eastAsia="zh-CN"/>
        </w:rPr>
        <w:t>部门</w:t>
      </w:r>
      <w:r>
        <w:rPr>
          <w:rFonts w:ascii="方正仿宋_GBK" w:hAnsi="方正仿宋_GBK" w:eastAsia="方正仿宋_GBK" w:cs="方正仿宋_GBK"/>
          <w:color w:val="000000"/>
          <w:sz w:val="32"/>
          <w:szCs w:val="32"/>
          <w:shd w:val="clear" w:color="auto" w:fill="FFFFFF"/>
        </w:rPr>
        <w:t>2023年度无政府性基金预算财政拨款收支。</w:t>
      </w:r>
    </w:p>
    <w:p>
      <w:pPr>
        <w:pStyle w:val="13"/>
        <w:autoSpaceDE w:val="0"/>
        <w:adjustRightInd w:val="0"/>
        <w:snapToGrid w:val="0"/>
        <w:spacing w:line="600" w:lineRule="exact"/>
        <w:ind w:firstLine="643"/>
        <w:jc w:val="both"/>
        <w:rPr>
          <w:rFonts w:hint="eastAsia" w:ascii="方正楷体简体" w:hAnsi="楷体" w:eastAsia="方正楷体简体" w:cs="楷体"/>
          <w:b/>
          <w:bCs/>
          <w:sz w:val="32"/>
          <w:szCs w:val="32"/>
          <w:shd w:val="clear" w:color="auto" w:fill="FFFFFF"/>
        </w:rPr>
      </w:pPr>
      <w:r>
        <w:rPr>
          <w:rFonts w:hint="eastAsia" w:ascii="方正楷体简体" w:hAnsi="楷体" w:eastAsia="方正楷体简体" w:cs="楷体"/>
          <w:b/>
          <w:bCs/>
          <w:sz w:val="32"/>
          <w:szCs w:val="32"/>
          <w:shd w:val="clear" w:color="auto" w:fill="FFFFFF"/>
        </w:rPr>
        <w:t>（六）国有资本经营预算财政拨款支出决算情况说明</w:t>
      </w:r>
    </w:p>
    <w:p>
      <w:pPr>
        <w:widowControl w:val="0"/>
        <w:autoSpaceDE w:val="0"/>
        <w:adjustRightInd w:val="0"/>
        <w:snapToGrid w:val="0"/>
        <w:spacing w:line="600" w:lineRule="exact"/>
        <w:ind w:firstLine="640" w:firstLineChars="200"/>
        <w:jc w:val="both"/>
        <w:rPr>
          <w:rFonts w:ascii="方正仿宋_GBK" w:hAnsi="方正仿宋_GBK" w:eastAsia="方正仿宋_GBK" w:cs="方正仿宋_GBK"/>
          <w:color w:val="000000"/>
          <w:sz w:val="32"/>
          <w:szCs w:val="32"/>
          <w:shd w:val="clear" w:color="auto" w:fill="FFFFFF"/>
        </w:rPr>
      </w:pPr>
      <w:r>
        <w:rPr>
          <w:rFonts w:ascii="方正仿宋_GBK" w:hAnsi="方正仿宋_GBK" w:eastAsia="方正仿宋_GBK" w:cs="方正仿宋_GBK"/>
          <w:color w:val="000000"/>
          <w:sz w:val="32"/>
          <w:szCs w:val="32"/>
          <w:shd w:val="clear" w:color="auto" w:fill="FFFFFF"/>
        </w:rPr>
        <w:t>本</w:t>
      </w:r>
      <w:r>
        <w:rPr>
          <w:rFonts w:hint="eastAsia" w:ascii="方正仿宋_GBK" w:hAnsi="方正仿宋_GBK" w:eastAsia="方正仿宋_GBK" w:cs="方正仿宋_GBK"/>
          <w:color w:val="000000"/>
          <w:sz w:val="32"/>
          <w:szCs w:val="32"/>
          <w:shd w:val="clear" w:color="auto" w:fill="FFFFFF"/>
          <w:lang w:val="en-US" w:eastAsia="zh-CN"/>
        </w:rPr>
        <w:t>部门</w:t>
      </w:r>
      <w:r>
        <w:rPr>
          <w:rFonts w:ascii="方正仿宋_GBK" w:hAnsi="方正仿宋_GBK" w:eastAsia="方正仿宋_GBK" w:cs="方正仿宋_GBK"/>
          <w:color w:val="000000"/>
          <w:sz w:val="32"/>
          <w:szCs w:val="32"/>
          <w:shd w:val="clear" w:color="auto" w:fill="FFFFFF"/>
        </w:rPr>
        <w:t>2023年度无国有资本经营预算财政拨款支出。</w:t>
      </w:r>
    </w:p>
    <w:p>
      <w:pPr>
        <w:pStyle w:val="8"/>
        <w:shd w:val="clear" w:color="auto" w:fill="FFFFFF"/>
        <w:adjustRightInd w:val="0"/>
        <w:snapToGrid w:val="0"/>
        <w:spacing w:before="0" w:beforeAutospacing="0" w:after="0" w:afterAutospacing="0" w:line="600" w:lineRule="exact"/>
        <w:ind w:firstLine="642" w:firstLineChars="200"/>
        <w:jc w:val="both"/>
        <w:rPr>
          <w:rFonts w:ascii="方正黑体简体" w:hAnsi="方正仿宋_GBK" w:eastAsia="方正黑体简体" w:cs="方正仿宋_GBK"/>
          <w:sz w:val="32"/>
          <w:szCs w:val="32"/>
        </w:rPr>
      </w:pPr>
      <w:r>
        <w:rPr>
          <w:rStyle w:val="12"/>
          <w:rFonts w:ascii="方正黑体简体" w:hAnsi="黑体" w:eastAsia="方正黑体简体" w:cs="黑体"/>
          <w:sz w:val="32"/>
          <w:szCs w:val="32"/>
          <w:shd w:val="clear" w:color="auto" w:fill="FFFFFF"/>
        </w:rPr>
        <w:t>三、“三公”经费情况说明</w:t>
      </w:r>
    </w:p>
    <w:p>
      <w:pPr>
        <w:pStyle w:val="13"/>
        <w:autoSpaceDE w:val="0"/>
        <w:adjustRightInd w:val="0"/>
        <w:snapToGrid w:val="0"/>
        <w:spacing w:line="600" w:lineRule="exact"/>
        <w:ind w:firstLine="643"/>
        <w:jc w:val="both"/>
        <w:rPr>
          <w:rFonts w:hint="eastAsia" w:ascii="方正楷体简体" w:hAnsi="楷体" w:eastAsia="方正楷体简体" w:cs="楷体"/>
          <w:b/>
          <w:bCs/>
          <w:sz w:val="32"/>
          <w:szCs w:val="32"/>
          <w:shd w:val="clear" w:color="auto" w:fill="FFFFFF"/>
        </w:rPr>
      </w:pPr>
      <w:r>
        <w:rPr>
          <w:rFonts w:hint="eastAsia" w:ascii="方正楷体简体" w:hAnsi="楷体" w:eastAsia="方正楷体简体" w:cs="楷体"/>
          <w:b/>
          <w:bCs/>
          <w:sz w:val="32"/>
          <w:szCs w:val="32"/>
          <w:shd w:val="clear" w:color="auto" w:fill="FFFFFF"/>
        </w:rPr>
        <w:t>（一）“三公”经费支出总体情况说明</w:t>
      </w:r>
    </w:p>
    <w:p>
      <w:pPr>
        <w:widowControl w:val="0"/>
        <w:autoSpaceDE w:val="0"/>
        <w:adjustRightInd w:val="0"/>
        <w:snapToGrid w:val="0"/>
        <w:spacing w:line="600" w:lineRule="exact"/>
        <w:ind w:firstLine="640" w:firstLineChars="200"/>
        <w:jc w:val="both"/>
        <w:rPr>
          <w:rFonts w:ascii="方正仿宋_GBK" w:hAnsi="方正仿宋_GBK" w:eastAsia="方正仿宋_GBK" w:cs="方正仿宋_GBK"/>
          <w:color w:val="000000"/>
          <w:sz w:val="32"/>
          <w:szCs w:val="32"/>
          <w:shd w:val="clear" w:color="auto" w:fill="FFFFFF"/>
        </w:rPr>
      </w:pPr>
      <w:r>
        <w:rPr>
          <w:rFonts w:ascii="方正仿宋_GBK" w:hAnsi="方正仿宋_GBK" w:eastAsia="方正仿宋_GBK" w:cs="方正仿宋_GBK"/>
          <w:color w:val="000000"/>
          <w:sz w:val="32"/>
          <w:szCs w:val="32"/>
          <w:shd w:val="clear" w:color="auto" w:fill="FFFFFF"/>
        </w:rPr>
        <w:t>2023年度“三公”经费支出共计11.08万元，较年初预算数减少1.92万元，下降14.77%，主要原因是严格执行中央八项规定，开展厉行节约，强化过紧日子的思想，比上公务接待费有所下降。较上年支出数增加3.42万元，增长44.65%，主要原因是因业务需要，相关部门批准，单位自筹资金新购入越野车一辆，油料费、过路费、保险费等相关费用增加3.18万元。</w:t>
      </w:r>
    </w:p>
    <w:p>
      <w:pPr>
        <w:pStyle w:val="13"/>
        <w:autoSpaceDE w:val="0"/>
        <w:adjustRightInd w:val="0"/>
        <w:snapToGrid w:val="0"/>
        <w:spacing w:line="600" w:lineRule="exact"/>
        <w:ind w:firstLine="643"/>
        <w:jc w:val="both"/>
        <w:rPr>
          <w:rFonts w:hint="eastAsia" w:ascii="方正楷体简体" w:hAnsi="楷体" w:eastAsia="方正楷体简体" w:cs="楷体"/>
          <w:b/>
          <w:bCs/>
          <w:sz w:val="32"/>
          <w:szCs w:val="32"/>
          <w:shd w:val="clear" w:color="auto" w:fill="FFFFFF"/>
        </w:rPr>
      </w:pPr>
      <w:r>
        <w:rPr>
          <w:rFonts w:hint="eastAsia" w:ascii="方正楷体简体" w:hAnsi="楷体" w:eastAsia="方正楷体简体" w:cs="楷体"/>
          <w:b/>
          <w:bCs/>
          <w:sz w:val="32"/>
          <w:szCs w:val="32"/>
          <w:shd w:val="clear" w:color="auto" w:fill="FFFFFF"/>
        </w:rPr>
        <w:t>（二）“三公”经费分项支出情况</w:t>
      </w:r>
    </w:p>
    <w:p>
      <w:pPr>
        <w:widowControl w:val="0"/>
        <w:autoSpaceDE w:val="0"/>
        <w:adjustRightInd w:val="0"/>
        <w:snapToGrid w:val="0"/>
        <w:spacing w:line="600" w:lineRule="exact"/>
        <w:ind w:firstLine="640" w:firstLineChars="200"/>
        <w:jc w:val="both"/>
        <w:rPr>
          <w:rFonts w:ascii="方正仿宋_GBK" w:hAnsi="方正仿宋_GBK" w:eastAsia="方正仿宋_GBK" w:cs="方正仿宋_GBK"/>
          <w:color w:val="000000"/>
          <w:sz w:val="32"/>
          <w:szCs w:val="32"/>
          <w:shd w:val="clear" w:color="auto" w:fill="FFFFFF"/>
        </w:rPr>
      </w:pPr>
      <w:r>
        <w:rPr>
          <w:rFonts w:ascii="方正仿宋_GBK" w:hAnsi="方正仿宋_GBK" w:eastAsia="方正仿宋_GBK" w:cs="方正仿宋_GBK"/>
          <w:color w:val="000000"/>
          <w:sz w:val="32"/>
          <w:szCs w:val="32"/>
          <w:shd w:val="clear" w:color="auto" w:fill="FFFFFF"/>
        </w:rPr>
        <w:t>2023年度本部门因公出国（境）费用0万元，本</w:t>
      </w:r>
      <w:r>
        <w:rPr>
          <w:rFonts w:hint="eastAsia" w:ascii="方正仿宋_GBK" w:hAnsi="方正仿宋_GBK" w:eastAsia="方正仿宋_GBK" w:cs="方正仿宋_GBK"/>
          <w:color w:val="000000"/>
          <w:sz w:val="32"/>
          <w:szCs w:val="32"/>
          <w:shd w:val="clear" w:color="auto" w:fill="FFFFFF"/>
          <w:lang w:val="en-US" w:eastAsia="zh-CN"/>
        </w:rPr>
        <w:t>部门</w:t>
      </w:r>
      <w:r>
        <w:rPr>
          <w:rFonts w:ascii="方正仿宋_GBK" w:hAnsi="方正仿宋_GBK" w:eastAsia="方正仿宋_GBK" w:cs="方正仿宋_GBK"/>
          <w:color w:val="000000"/>
          <w:sz w:val="32"/>
          <w:szCs w:val="32"/>
          <w:shd w:val="clear" w:color="auto" w:fill="FFFFFF"/>
        </w:rPr>
        <w:t>2023年度未发生因公出国（境）费用支出。</w:t>
      </w:r>
    </w:p>
    <w:p>
      <w:pPr>
        <w:widowControl w:val="0"/>
        <w:autoSpaceDE w:val="0"/>
        <w:adjustRightInd w:val="0"/>
        <w:snapToGrid w:val="0"/>
        <w:spacing w:line="600" w:lineRule="exact"/>
        <w:ind w:firstLine="640" w:firstLineChars="200"/>
        <w:jc w:val="both"/>
        <w:rPr>
          <w:rFonts w:ascii="方正仿宋_GBK" w:hAnsi="方正仿宋_GBK" w:eastAsia="方正仿宋_GBK" w:cs="方正仿宋_GBK"/>
          <w:color w:val="000000"/>
          <w:sz w:val="32"/>
          <w:szCs w:val="32"/>
          <w:shd w:val="clear" w:color="auto" w:fill="FFFFFF"/>
        </w:rPr>
      </w:pPr>
      <w:r>
        <w:rPr>
          <w:rFonts w:ascii="方正仿宋_GBK" w:hAnsi="方正仿宋_GBK" w:eastAsia="方正仿宋_GBK" w:cs="方正仿宋_GBK"/>
          <w:color w:val="000000"/>
          <w:sz w:val="32"/>
          <w:szCs w:val="32"/>
          <w:shd w:val="clear" w:color="auto" w:fill="FFFFFF"/>
        </w:rPr>
        <w:t>公务车购置费0万元，本</w:t>
      </w:r>
      <w:r>
        <w:rPr>
          <w:rFonts w:hint="eastAsia" w:ascii="方正仿宋_GBK" w:hAnsi="方正仿宋_GBK" w:eastAsia="方正仿宋_GBK" w:cs="方正仿宋_GBK"/>
          <w:color w:val="000000"/>
          <w:sz w:val="32"/>
          <w:szCs w:val="32"/>
          <w:shd w:val="clear" w:color="auto" w:fill="FFFFFF"/>
          <w:lang w:val="en-US" w:eastAsia="zh-CN"/>
        </w:rPr>
        <w:t>部门</w:t>
      </w:r>
      <w:r>
        <w:rPr>
          <w:rFonts w:ascii="方正仿宋_GBK" w:hAnsi="方正仿宋_GBK" w:eastAsia="方正仿宋_GBK" w:cs="方正仿宋_GBK"/>
          <w:color w:val="000000"/>
          <w:sz w:val="32"/>
          <w:szCs w:val="32"/>
          <w:shd w:val="clear" w:color="auto" w:fill="FFFFFF"/>
        </w:rPr>
        <w:t>2023年度未发生公务车购置费用支出。</w:t>
      </w:r>
    </w:p>
    <w:p>
      <w:pPr>
        <w:widowControl w:val="0"/>
        <w:autoSpaceDE w:val="0"/>
        <w:adjustRightInd w:val="0"/>
        <w:snapToGrid w:val="0"/>
        <w:spacing w:line="600" w:lineRule="exact"/>
        <w:ind w:firstLine="640" w:firstLineChars="200"/>
        <w:jc w:val="both"/>
        <w:rPr>
          <w:rFonts w:ascii="方正仿宋_GBK" w:hAnsi="方正仿宋_GBK" w:eastAsia="方正仿宋_GBK" w:cs="方正仿宋_GBK"/>
          <w:color w:val="000000"/>
          <w:sz w:val="32"/>
          <w:szCs w:val="32"/>
          <w:shd w:val="clear" w:color="auto" w:fill="FFFFFF"/>
        </w:rPr>
      </w:pPr>
      <w:r>
        <w:rPr>
          <w:rFonts w:ascii="方正仿宋_GBK" w:hAnsi="方正仿宋_GBK" w:eastAsia="方正仿宋_GBK" w:cs="方正仿宋_GBK"/>
          <w:color w:val="000000"/>
          <w:sz w:val="32"/>
          <w:szCs w:val="32"/>
          <w:shd w:val="clear" w:color="auto" w:fill="FFFFFF"/>
        </w:rPr>
        <w:t>公务车运行维护费7.42万元，主要用于市内因公出行、各项业务检查、接待央视及重庆台记者下乡采访等工作所需车辆的燃料费、维修费、过桥过路费、保险费等。费用支出较年初预算数减少0.58万元，下降7.25%，主要原因是严格执行公车管理办法，不偏轨、不走样，强化执行力。较上年支出数增加3.42万元，增长85.50%，主要原因是因业务需要，相关部门批准，单位自筹资金新购入越野车一辆，油料费、过路费、保险费等相关费用增加3.18万元。</w:t>
      </w:r>
    </w:p>
    <w:p>
      <w:pPr>
        <w:widowControl w:val="0"/>
        <w:autoSpaceDE w:val="0"/>
        <w:adjustRightInd w:val="0"/>
        <w:snapToGrid w:val="0"/>
        <w:spacing w:line="600" w:lineRule="exact"/>
        <w:ind w:firstLine="640" w:firstLineChars="200"/>
        <w:jc w:val="both"/>
        <w:rPr>
          <w:rFonts w:ascii="方正仿宋_GBK" w:hAnsi="方正仿宋_GBK" w:eastAsia="方正仿宋_GBK" w:cs="方正仿宋_GBK"/>
          <w:color w:val="000000"/>
          <w:sz w:val="32"/>
          <w:szCs w:val="32"/>
          <w:shd w:val="clear" w:color="auto" w:fill="FFFFFF"/>
        </w:rPr>
      </w:pPr>
      <w:r>
        <w:rPr>
          <w:rFonts w:ascii="方正仿宋_GBK" w:hAnsi="方正仿宋_GBK" w:eastAsia="方正仿宋_GBK" w:cs="方正仿宋_GBK"/>
          <w:color w:val="000000"/>
          <w:sz w:val="32"/>
          <w:szCs w:val="32"/>
          <w:shd w:val="clear" w:color="auto" w:fill="FFFFFF"/>
        </w:rPr>
        <w:t>公务接待费3.65万元，主要用于接待中央电视台、重庆电视台以及各区县电视台来访记者的餐饮住宿等。费用支出较年初预算数减少1.35万元，下降27.00%、较上年支出数减少0.01万元，下降0.27%，主要原因是严格执行中央八项规定，控制接待规模，控制接待规格，控制陪餐人数。故2023年公务接待费比上年及年初预算数都相应减少。</w:t>
      </w:r>
    </w:p>
    <w:p>
      <w:pPr>
        <w:pStyle w:val="13"/>
        <w:autoSpaceDE w:val="0"/>
        <w:adjustRightInd w:val="0"/>
        <w:snapToGrid w:val="0"/>
        <w:spacing w:line="600" w:lineRule="exact"/>
        <w:ind w:firstLine="643"/>
        <w:jc w:val="both"/>
        <w:rPr>
          <w:rFonts w:hint="eastAsia" w:ascii="方正楷体简体" w:hAnsi="楷体" w:eastAsia="方正楷体简体" w:cs="楷体"/>
          <w:b/>
          <w:bCs/>
          <w:sz w:val="32"/>
          <w:szCs w:val="32"/>
          <w:shd w:val="clear" w:color="auto" w:fill="FFFFFF"/>
        </w:rPr>
      </w:pPr>
      <w:r>
        <w:rPr>
          <w:rFonts w:hint="eastAsia" w:ascii="方正楷体简体" w:hAnsi="楷体" w:eastAsia="方正楷体简体" w:cs="楷体"/>
          <w:b/>
          <w:bCs/>
          <w:sz w:val="32"/>
          <w:szCs w:val="32"/>
          <w:shd w:val="clear" w:color="auto" w:fill="FFFFFF"/>
        </w:rPr>
        <w:t>（三）“三公”经费实物量情况</w:t>
      </w:r>
    </w:p>
    <w:p>
      <w:pPr>
        <w:widowControl w:val="0"/>
        <w:autoSpaceDE w:val="0"/>
        <w:adjustRightInd w:val="0"/>
        <w:snapToGrid w:val="0"/>
        <w:spacing w:line="600" w:lineRule="exact"/>
        <w:ind w:firstLine="640" w:firstLineChars="200"/>
        <w:jc w:val="both"/>
        <w:rPr>
          <w:rFonts w:ascii="方正仿宋_GBK" w:hAnsi="方正仿宋_GBK" w:eastAsia="方正仿宋_GBK" w:cs="方正仿宋_GBK"/>
          <w:color w:val="000000"/>
          <w:sz w:val="32"/>
          <w:szCs w:val="32"/>
          <w:shd w:val="clear" w:color="auto" w:fill="FFFFFF"/>
        </w:rPr>
      </w:pPr>
      <w:r>
        <w:rPr>
          <w:rFonts w:hint="default" w:ascii="Cambria" w:hAnsi="Cambria" w:eastAsia="方正仿宋简体" w:cs="Cambria"/>
          <w:color w:val="000000"/>
          <w:sz w:val="32"/>
          <w:szCs w:val="32"/>
          <w:shd w:val="clear" w:color="auto" w:fill="FFFFFF"/>
        </w:rPr>
        <w:t> </w:t>
      </w:r>
      <w:r>
        <w:rPr>
          <w:rFonts w:ascii="方正仿宋_GBK" w:hAnsi="方正仿宋_GBK" w:eastAsia="方正仿宋_GBK" w:cs="方正仿宋_GBK"/>
          <w:color w:val="000000"/>
          <w:sz w:val="32"/>
          <w:szCs w:val="32"/>
          <w:shd w:val="clear" w:color="auto" w:fill="FFFFFF"/>
        </w:rPr>
        <w:t>2023年度本</w:t>
      </w:r>
      <w:r>
        <w:rPr>
          <w:rFonts w:hint="eastAsia" w:ascii="方正仿宋_GBK" w:hAnsi="方正仿宋_GBK" w:eastAsia="方正仿宋_GBK" w:cs="方正仿宋_GBK"/>
          <w:color w:val="000000"/>
          <w:sz w:val="32"/>
          <w:szCs w:val="32"/>
          <w:shd w:val="clear" w:color="auto" w:fill="FFFFFF"/>
          <w:lang w:val="en-US" w:eastAsia="zh-CN"/>
        </w:rPr>
        <w:t>部门</w:t>
      </w:r>
      <w:r>
        <w:rPr>
          <w:rFonts w:ascii="方正仿宋_GBK" w:hAnsi="方正仿宋_GBK" w:eastAsia="方正仿宋_GBK" w:cs="方正仿宋_GBK"/>
          <w:color w:val="000000"/>
          <w:sz w:val="32"/>
          <w:szCs w:val="32"/>
          <w:shd w:val="clear" w:color="auto" w:fill="FFFFFF"/>
        </w:rPr>
        <w:t>因公出国（境）共计0个团组，0人；公务用车购置0辆，公务车保有量为2辆；国内公务接待156批次730人，其中：国内外事接待0批次，0人；国（境）外公务接待0批次，0人。2023年本</w:t>
      </w:r>
      <w:r>
        <w:rPr>
          <w:rFonts w:hint="eastAsia" w:ascii="方正仿宋_GBK" w:hAnsi="方正仿宋_GBK" w:eastAsia="方正仿宋_GBK" w:cs="方正仿宋_GBK"/>
          <w:color w:val="000000"/>
          <w:sz w:val="32"/>
          <w:szCs w:val="32"/>
          <w:shd w:val="clear" w:color="auto" w:fill="FFFFFF"/>
          <w:lang w:val="en-US" w:eastAsia="zh-CN"/>
        </w:rPr>
        <w:t>部门</w:t>
      </w:r>
      <w:r>
        <w:rPr>
          <w:rFonts w:ascii="方正仿宋_GBK" w:hAnsi="方正仿宋_GBK" w:eastAsia="方正仿宋_GBK" w:cs="方正仿宋_GBK"/>
          <w:color w:val="000000"/>
          <w:sz w:val="32"/>
          <w:szCs w:val="32"/>
          <w:shd w:val="clear" w:color="auto" w:fill="FFFFFF"/>
        </w:rPr>
        <w:t>人均接待费50.02元，车均购置费0万元，车均维护费3.71万元。</w:t>
      </w:r>
    </w:p>
    <w:p>
      <w:pPr>
        <w:pStyle w:val="8"/>
        <w:shd w:val="clear" w:color="auto" w:fill="FFFFFF"/>
        <w:adjustRightInd w:val="0"/>
        <w:snapToGrid w:val="0"/>
        <w:spacing w:before="0" w:beforeAutospacing="0" w:after="0" w:afterAutospacing="0" w:line="600" w:lineRule="exact"/>
        <w:ind w:firstLine="640" w:firstLineChars="200"/>
        <w:jc w:val="both"/>
        <w:rPr>
          <w:rStyle w:val="12"/>
          <w:rFonts w:ascii="方正黑体简体" w:hAnsi="方正仿宋_GBK" w:eastAsia="方正黑体简体" w:cs="方正仿宋_GBK"/>
          <w:b w:val="0"/>
          <w:bCs/>
          <w:sz w:val="32"/>
          <w:szCs w:val="32"/>
          <w:shd w:val="clear" w:color="auto" w:fill="FFFFFF"/>
        </w:rPr>
      </w:pPr>
      <w:r>
        <w:rPr>
          <w:rStyle w:val="12"/>
          <w:rFonts w:ascii="方正黑体简体" w:hAnsi="黑体" w:eastAsia="方正黑体简体" w:cs="黑体"/>
          <w:b w:val="0"/>
          <w:bCs/>
          <w:sz w:val="32"/>
          <w:szCs w:val="32"/>
          <w:shd w:val="clear" w:color="auto" w:fill="FFFFFF"/>
        </w:rPr>
        <w:t>四、其他需要说明的事项</w:t>
      </w:r>
    </w:p>
    <w:p>
      <w:pPr>
        <w:pStyle w:val="13"/>
        <w:autoSpaceDE w:val="0"/>
        <w:adjustRightInd w:val="0"/>
        <w:snapToGrid w:val="0"/>
        <w:spacing w:line="600" w:lineRule="exact"/>
        <w:ind w:firstLine="643"/>
        <w:jc w:val="both"/>
        <w:rPr>
          <w:rFonts w:hint="eastAsia" w:ascii="方正楷体简体" w:hAnsi="楷体" w:eastAsia="方正楷体简体" w:cs="楷体"/>
          <w:b/>
          <w:bCs/>
          <w:sz w:val="32"/>
          <w:szCs w:val="32"/>
          <w:shd w:val="clear" w:color="auto" w:fill="FFFFFF"/>
        </w:rPr>
      </w:pPr>
      <w:r>
        <w:rPr>
          <w:rFonts w:hint="eastAsia" w:ascii="方正楷体简体" w:hAnsi="楷体" w:eastAsia="方正楷体简体" w:cs="楷体"/>
          <w:b/>
          <w:bCs/>
          <w:sz w:val="32"/>
          <w:szCs w:val="32"/>
          <w:shd w:val="clear" w:color="auto" w:fill="FFFFFF"/>
        </w:rPr>
        <w:t>（一）财政拨款会议费和培训费情况说明</w:t>
      </w:r>
    </w:p>
    <w:p>
      <w:pPr>
        <w:widowControl w:val="0"/>
        <w:autoSpaceDE w:val="0"/>
        <w:adjustRightInd w:val="0"/>
        <w:snapToGrid w:val="0"/>
        <w:spacing w:line="600" w:lineRule="exact"/>
        <w:ind w:firstLine="640" w:firstLineChars="200"/>
        <w:jc w:val="both"/>
        <w:rPr>
          <w:rFonts w:ascii="方正仿宋_GBK" w:hAnsi="方正仿宋_GBK" w:eastAsia="方正仿宋_GBK" w:cs="方正仿宋_GBK"/>
          <w:color w:val="000000"/>
          <w:sz w:val="32"/>
          <w:szCs w:val="32"/>
          <w:shd w:val="clear" w:color="auto" w:fill="FFFFFF"/>
        </w:rPr>
      </w:pPr>
      <w:r>
        <w:rPr>
          <w:rFonts w:ascii="方正仿宋_GBK" w:hAnsi="方正仿宋_GBK" w:eastAsia="方正仿宋_GBK" w:cs="方正仿宋_GBK"/>
          <w:sz w:val="32"/>
          <w:szCs w:val="32"/>
          <w:shd w:val="clear" w:color="auto" w:fill="FFFFFF"/>
        </w:rPr>
        <w:t> </w:t>
      </w:r>
      <w:r>
        <w:rPr>
          <w:rFonts w:ascii="方正仿宋_GBK" w:hAnsi="方正仿宋_GBK" w:eastAsia="方正仿宋_GBK" w:cs="方正仿宋_GBK"/>
          <w:sz w:val="32"/>
          <w:szCs w:val="32"/>
        </w:rPr>
        <w:t>本年度无会议费支出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2.03</w:t>
      </w:r>
      <w:r>
        <w:rPr>
          <w:rFonts w:ascii="方正仿宋_GBK" w:hAnsi="方正仿宋_GBK" w:eastAsia="方正仿宋_GBK" w:cs="方正仿宋_GBK"/>
          <w:sz w:val="32"/>
          <w:szCs w:val="32"/>
          <w:shd w:val="clear" w:color="auto" w:fill="FFFFFF"/>
        </w:rPr>
        <w:t>万元，较上年决算数减少4.88万元，下降70.62%，主要原因是</w:t>
      </w:r>
      <w:r>
        <w:rPr>
          <w:rFonts w:ascii="方正仿宋_GBK" w:hAnsi="方正仿宋_GBK" w:eastAsia="方正仿宋_GBK" w:cs="方正仿宋_GBK"/>
          <w:color w:val="000000"/>
          <w:sz w:val="32"/>
          <w:szCs w:val="32"/>
          <w:shd w:val="clear" w:color="auto" w:fill="FFFFFF"/>
        </w:rPr>
        <w:t>本年度控制培训规模，减少培训数量，压减培训费支出。</w:t>
      </w:r>
    </w:p>
    <w:p>
      <w:pPr>
        <w:pStyle w:val="13"/>
        <w:autoSpaceDE w:val="0"/>
        <w:adjustRightInd w:val="0"/>
        <w:snapToGrid w:val="0"/>
        <w:spacing w:line="600" w:lineRule="exact"/>
        <w:ind w:firstLine="643"/>
        <w:jc w:val="both"/>
        <w:rPr>
          <w:rFonts w:hint="eastAsia" w:ascii="方正楷体简体" w:hAnsi="楷体" w:eastAsia="方正楷体简体" w:cs="楷体"/>
          <w:b/>
          <w:bCs/>
          <w:sz w:val="32"/>
          <w:szCs w:val="32"/>
          <w:shd w:val="clear" w:color="auto" w:fill="FFFFFF"/>
        </w:rPr>
      </w:pPr>
      <w:r>
        <w:rPr>
          <w:rFonts w:hint="eastAsia" w:ascii="方正楷体简体" w:hAnsi="楷体" w:eastAsia="方正楷体简体" w:cs="楷体"/>
          <w:b/>
          <w:bCs/>
          <w:sz w:val="32"/>
          <w:szCs w:val="32"/>
          <w:shd w:val="clear" w:color="auto" w:fill="FFFFFF"/>
        </w:rPr>
        <w:t>（二）机关运行经费情况说明</w:t>
      </w:r>
    </w:p>
    <w:p>
      <w:pPr>
        <w:widowControl w:val="0"/>
        <w:autoSpaceDE w:val="0"/>
        <w:adjustRightInd w:val="0"/>
        <w:snapToGrid w:val="0"/>
        <w:spacing w:line="600" w:lineRule="exact"/>
        <w:ind w:firstLine="640" w:firstLineChars="200"/>
        <w:jc w:val="both"/>
        <w:rPr>
          <w:rFonts w:ascii="方正仿宋_GBK" w:hAnsi="方正仿宋_GBK" w:eastAsia="方正仿宋_GBK" w:cs="方正仿宋_GBK"/>
          <w:color w:val="000000"/>
          <w:sz w:val="32"/>
          <w:szCs w:val="32"/>
          <w:shd w:val="clear" w:color="auto" w:fill="FFFFFF"/>
        </w:rPr>
      </w:pPr>
      <w:r>
        <w:rPr>
          <w:rFonts w:ascii="方正仿宋_GBK" w:hAnsi="方正仿宋_GBK" w:eastAsia="方正仿宋_GBK" w:cs="方正仿宋_GBK"/>
          <w:color w:val="000000"/>
          <w:sz w:val="32"/>
          <w:szCs w:val="32"/>
          <w:shd w:val="clear" w:color="auto" w:fill="FFFFFF"/>
        </w:rPr>
        <w:t>按部门决算列报口径，我</w:t>
      </w:r>
      <w:r>
        <w:rPr>
          <w:rFonts w:hint="eastAsia" w:ascii="方正仿宋_GBK" w:hAnsi="方正仿宋_GBK" w:eastAsia="方正仿宋_GBK" w:cs="方正仿宋_GBK"/>
          <w:color w:val="000000"/>
          <w:sz w:val="32"/>
          <w:szCs w:val="32"/>
          <w:shd w:val="clear" w:color="auto" w:fill="FFFFFF"/>
          <w:lang w:val="en-US" w:eastAsia="zh-CN"/>
        </w:rPr>
        <w:t>部门</w:t>
      </w:r>
      <w:r>
        <w:rPr>
          <w:rFonts w:ascii="方正仿宋_GBK" w:hAnsi="方正仿宋_GBK" w:eastAsia="方正仿宋_GBK" w:cs="方正仿宋_GBK"/>
          <w:color w:val="000000"/>
          <w:sz w:val="32"/>
          <w:szCs w:val="32"/>
          <w:shd w:val="clear" w:color="auto" w:fill="FFFFFF"/>
        </w:rPr>
        <w:t>不在机关运行经费统计范围之内。</w:t>
      </w:r>
    </w:p>
    <w:p>
      <w:pPr>
        <w:pStyle w:val="13"/>
        <w:autoSpaceDE w:val="0"/>
        <w:adjustRightInd w:val="0"/>
        <w:snapToGrid w:val="0"/>
        <w:spacing w:line="600" w:lineRule="exact"/>
        <w:ind w:firstLine="643"/>
        <w:jc w:val="both"/>
        <w:rPr>
          <w:rFonts w:hint="eastAsia" w:ascii="方正楷体简体" w:hAnsi="楷体" w:eastAsia="方正楷体简体" w:cs="楷体"/>
          <w:b/>
          <w:bCs/>
          <w:sz w:val="32"/>
          <w:szCs w:val="32"/>
          <w:shd w:val="clear" w:color="auto" w:fill="FFFFFF"/>
        </w:rPr>
      </w:pPr>
      <w:r>
        <w:rPr>
          <w:rFonts w:hint="eastAsia" w:ascii="方正楷体简体" w:hAnsi="楷体" w:eastAsia="方正楷体简体" w:cs="楷体"/>
          <w:b/>
          <w:bCs/>
          <w:sz w:val="32"/>
          <w:szCs w:val="32"/>
          <w:shd w:val="clear" w:color="auto" w:fill="FFFFFF"/>
        </w:rPr>
        <w:t>（三）国有资产占用情况说明</w:t>
      </w:r>
    </w:p>
    <w:p>
      <w:pPr>
        <w:widowControl w:val="0"/>
        <w:autoSpaceDE w:val="0"/>
        <w:adjustRightInd w:val="0"/>
        <w:snapToGrid w:val="0"/>
        <w:spacing w:line="600" w:lineRule="exact"/>
        <w:ind w:firstLine="640" w:firstLineChars="200"/>
        <w:jc w:val="both"/>
        <w:rPr>
          <w:rFonts w:ascii="方正仿宋_GBK" w:hAnsi="方正仿宋_GBK" w:eastAsia="方正仿宋_GBK" w:cs="方正仿宋_GBK"/>
          <w:color w:val="000000"/>
          <w:sz w:val="32"/>
          <w:szCs w:val="32"/>
          <w:shd w:val="clear" w:color="auto" w:fill="FFFFFF"/>
        </w:rPr>
      </w:pPr>
      <w:r>
        <w:rPr>
          <w:rFonts w:ascii="方正仿宋_GBK" w:hAnsi="方正仿宋_GBK" w:eastAsia="方正仿宋_GBK" w:cs="方正仿宋_GBK"/>
          <w:color w:val="000000"/>
          <w:sz w:val="32"/>
          <w:szCs w:val="32"/>
          <w:shd w:val="clear" w:color="auto" w:fill="FFFFFF"/>
        </w:rPr>
        <w:t>截至2023年12月31日，本</w:t>
      </w:r>
      <w:r>
        <w:rPr>
          <w:rFonts w:hint="eastAsia" w:ascii="方正仿宋_GBK" w:hAnsi="方正仿宋_GBK" w:eastAsia="方正仿宋_GBK" w:cs="方正仿宋_GBK"/>
          <w:color w:val="000000"/>
          <w:sz w:val="32"/>
          <w:szCs w:val="32"/>
          <w:shd w:val="clear" w:color="auto" w:fill="FFFFFF"/>
          <w:lang w:val="en-US" w:eastAsia="zh-CN"/>
        </w:rPr>
        <w:t>部门</w:t>
      </w:r>
      <w:r>
        <w:rPr>
          <w:rFonts w:ascii="方正仿宋_GBK" w:hAnsi="方正仿宋_GBK" w:eastAsia="方正仿宋_GBK" w:cs="方正仿宋_GBK"/>
          <w:color w:val="000000"/>
          <w:sz w:val="32"/>
          <w:szCs w:val="32"/>
          <w:shd w:val="clear" w:color="auto" w:fill="FFFFFF"/>
        </w:rPr>
        <w:t>共有车辆2辆，其中，副部（省）级及以上领导用车0辆、主要负责人用车0辆、机要通信用车0辆、应急保障用车2辆、执法执勤用车0辆，特种专业技术用车0辆，离退休干部用车0辆。单价100万元（含）以上专用设备1台（套）。</w:t>
      </w:r>
    </w:p>
    <w:p>
      <w:pPr>
        <w:pStyle w:val="13"/>
        <w:autoSpaceDE w:val="0"/>
        <w:adjustRightInd w:val="0"/>
        <w:snapToGrid w:val="0"/>
        <w:spacing w:line="600" w:lineRule="exact"/>
        <w:ind w:firstLine="643"/>
        <w:jc w:val="both"/>
        <w:rPr>
          <w:rFonts w:hint="eastAsia" w:ascii="方正楷体简体" w:hAnsi="楷体" w:eastAsia="方正楷体简体" w:cs="楷体"/>
          <w:b/>
          <w:bCs/>
          <w:sz w:val="32"/>
          <w:szCs w:val="32"/>
          <w:shd w:val="clear" w:color="auto" w:fill="FFFFFF"/>
        </w:rPr>
      </w:pPr>
      <w:r>
        <w:rPr>
          <w:rFonts w:hint="eastAsia" w:ascii="方正楷体简体" w:hAnsi="楷体" w:eastAsia="方正楷体简体" w:cs="楷体"/>
          <w:b/>
          <w:bCs/>
          <w:sz w:val="32"/>
          <w:szCs w:val="32"/>
          <w:shd w:val="clear" w:color="auto" w:fill="FFFFFF"/>
        </w:rPr>
        <w:t>（四）政府采购支出情况说明</w:t>
      </w:r>
    </w:p>
    <w:p>
      <w:pPr>
        <w:widowControl w:val="0"/>
        <w:autoSpaceDE w:val="0"/>
        <w:adjustRightInd w:val="0"/>
        <w:snapToGrid w:val="0"/>
        <w:spacing w:line="600" w:lineRule="exact"/>
        <w:ind w:firstLine="640" w:firstLineChars="200"/>
        <w:jc w:val="both"/>
        <w:rPr>
          <w:rFonts w:ascii="方正仿宋_GBK" w:hAnsi="方正仿宋_GBK" w:eastAsia="方正仿宋_GBK" w:cs="方正仿宋_GBK"/>
          <w:color w:val="000000"/>
          <w:sz w:val="32"/>
          <w:szCs w:val="32"/>
          <w:shd w:val="clear" w:color="auto" w:fill="FFFFFF"/>
        </w:rPr>
      </w:pPr>
      <w:r>
        <w:rPr>
          <w:rFonts w:ascii="方正仿宋_GBK" w:hAnsi="方正仿宋_GBK" w:eastAsia="方正仿宋_GBK" w:cs="方正仿宋_GBK"/>
          <w:color w:val="000000"/>
          <w:sz w:val="32"/>
          <w:szCs w:val="32"/>
          <w:shd w:val="clear" w:color="auto" w:fill="FFFFFF"/>
        </w:rPr>
        <w:t>2023年度我</w:t>
      </w:r>
      <w:r>
        <w:rPr>
          <w:rFonts w:hint="eastAsia" w:ascii="方正仿宋_GBK" w:hAnsi="方正仿宋_GBK" w:eastAsia="方正仿宋_GBK" w:cs="方正仿宋_GBK"/>
          <w:color w:val="000000"/>
          <w:sz w:val="32"/>
          <w:szCs w:val="32"/>
          <w:shd w:val="clear" w:color="auto" w:fill="FFFFFF"/>
          <w:lang w:val="en-US" w:eastAsia="zh-CN"/>
        </w:rPr>
        <w:t>单位</w:t>
      </w:r>
      <w:r>
        <w:rPr>
          <w:rFonts w:ascii="方正仿宋_GBK" w:hAnsi="方正仿宋_GBK" w:eastAsia="方正仿宋_GBK" w:cs="方正仿宋_GBK"/>
          <w:color w:val="000000"/>
          <w:sz w:val="32"/>
          <w:szCs w:val="32"/>
          <w:shd w:val="clear" w:color="auto" w:fill="FFFFFF"/>
        </w:rPr>
        <w:t>未发生政府采购事项，无相关经费支出。</w:t>
      </w:r>
    </w:p>
    <w:p>
      <w:pPr>
        <w:pStyle w:val="8"/>
        <w:shd w:val="clear" w:color="auto" w:fill="FFFFFF"/>
        <w:adjustRightInd w:val="0"/>
        <w:snapToGrid w:val="0"/>
        <w:spacing w:before="0" w:beforeAutospacing="0" w:after="0" w:afterAutospacing="0" w:line="600" w:lineRule="exact"/>
        <w:ind w:left="640"/>
        <w:jc w:val="both"/>
        <w:rPr>
          <w:rStyle w:val="12"/>
          <w:rFonts w:ascii="方正黑体简体" w:hAnsi="黑体" w:eastAsia="方正黑体简体" w:cs="黑体"/>
          <w:b w:val="0"/>
          <w:bCs/>
          <w:sz w:val="32"/>
          <w:szCs w:val="32"/>
          <w:shd w:val="clear" w:color="auto" w:fill="FFFFFF"/>
        </w:rPr>
      </w:pPr>
      <w:r>
        <w:rPr>
          <w:rStyle w:val="12"/>
          <w:rFonts w:ascii="方正黑体简体" w:hAnsi="黑体" w:eastAsia="方正黑体简体" w:cs="黑体"/>
          <w:b w:val="0"/>
          <w:bCs/>
          <w:sz w:val="32"/>
          <w:szCs w:val="32"/>
          <w:shd w:val="clear" w:color="auto" w:fill="FFFFFF"/>
        </w:rPr>
        <w:t>五、预算绩效管理情况说明</w:t>
      </w:r>
    </w:p>
    <w:p>
      <w:pPr>
        <w:pStyle w:val="13"/>
        <w:autoSpaceDE w:val="0"/>
        <w:adjustRightInd w:val="0"/>
        <w:snapToGrid w:val="0"/>
        <w:spacing w:line="600" w:lineRule="exact"/>
        <w:ind w:firstLine="643"/>
        <w:jc w:val="both"/>
        <w:rPr>
          <w:rFonts w:hint="eastAsia" w:ascii="方正楷体简体" w:hAnsi="楷体" w:eastAsia="方正楷体简体" w:cs="楷体"/>
          <w:b/>
          <w:bCs/>
          <w:sz w:val="32"/>
          <w:szCs w:val="32"/>
          <w:shd w:val="clear" w:color="auto" w:fill="FFFFFF"/>
        </w:rPr>
      </w:pPr>
      <w:r>
        <w:rPr>
          <w:rFonts w:hint="eastAsia" w:ascii="方正楷体简体" w:hAnsi="楷体" w:eastAsia="方正楷体简体" w:cs="楷体"/>
          <w:b/>
          <w:bCs/>
          <w:sz w:val="32"/>
          <w:szCs w:val="32"/>
          <w:shd w:val="clear" w:color="auto" w:fill="FFFFFF"/>
        </w:rPr>
        <w:t>（一）</w:t>
      </w:r>
      <w:r>
        <w:rPr>
          <w:rFonts w:hint="eastAsia" w:ascii="方正楷体简体" w:hAnsi="楷体" w:eastAsia="方正楷体简体" w:cs="楷体"/>
          <w:b/>
          <w:bCs/>
          <w:sz w:val="32"/>
          <w:szCs w:val="32"/>
          <w:shd w:val="clear" w:color="auto" w:fill="FFFFFF"/>
          <w:lang w:val="en-US" w:eastAsia="zh-CN"/>
        </w:rPr>
        <w:t>部门</w:t>
      </w:r>
      <w:r>
        <w:rPr>
          <w:rFonts w:hint="eastAsia" w:ascii="方正楷体简体" w:hAnsi="楷体" w:eastAsia="方正楷体简体" w:cs="楷体"/>
          <w:b/>
          <w:bCs/>
          <w:sz w:val="32"/>
          <w:szCs w:val="32"/>
          <w:shd w:val="clear" w:color="auto" w:fill="FFFFFF"/>
        </w:rPr>
        <w:t>自评情况</w:t>
      </w:r>
    </w:p>
    <w:p>
      <w:pPr>
        <w:widowControl w:val="0"/>
        <w:autoSpaceDE w:val="0"/>
        <w:adjustRightInd w:val="0"/>
        <w:snapToGrid w:val="0"/>
        <w:spacing w:line="600" w:lineRule="exact"/>
        <w:ind w:firstLine="640" w:firstLineChars="200"/>
        <w:jc w:val="both"/>
        <w:rPr>
          <w:rFonts w:ascii="方正仿宋_GBK" w:hAnsi="方正仿宋_GBK" w:eastAsia="方正仿宋_GBK" w:cs="方正仿宋_GBK"/>
          <w:color w:val="000000"/>
          <w:sz w:val="32"/>
          <w:szCs w:val="32"/>
          <w:shd w:val="clear" w:color="auto" w:fill="FFFFFF"/>
        </w:rPr>
      </w:pPr>
      <w:r>
        <w:rPr>
          <w:rFonts w:ascii="方正仿宋_GBK" w:hAnsi="方正仿宋_GBK" w:eastAsia="方正仿宋_GBK" w:cs="方正仿宋_GBK"/>
          <w:color w:val="000000"/>
          <w:sz w:val="32"/>
          <w:szCs w:val="32"/>
          <w:shd w:val="clear" w:color="auto" w:fill="FFFFFF"/>
        </w:rPr>
        <w:t>根据预算绩效管理要求，</w:t>
      </w:r>
      <w:r>
        <w:rPr>
          <w:rFonts w:ascii="方正仿宋_GBK" w:hAnsi="方正仿宋_GBK" w:eastAsia="方正仿宋_GBK" w:cs="方正仿宋_GBK"/>
          <w:sz w:val="32"/>
          <w:szCs w:val="32"/>
        </w:rPr>
        <w:t>我</w:t>
      </w:r>
      <w:r>
        <w:rPr>
          <w:rFonts w:hint="eastAsia" w:ascii="方正仿宋_GBK" w:hAnsi="方正仿宋_GBK" w:eastAsia="方正仿宋_GBK" w:cs="方正仿宋_GBK"/>
          <w:sz w:val="32"/>
          <w:szCs w:val="32"/>
          <w:lang w:val="en-US" w:eastAsia="zh-CN"/>
        </w:rPr>
        <w:t>部门</w:t>
      </w:r>
      <w:r>
        <w:rPr>
          <w:rFonts w:ascii="方正仿宋_GBK" w:hAnsi="方正仿宋_GBK" w:eastAsia="方正仿宋_GBK" w:cs="方正仿宋_GBK"/>
          <w:color w:val="000000"/>
          <w:sz w:val="32"/>
          <w:szCs w:val="32"/>
          <w:shd w:val="clear" w:color="auto" w:fill="FFFFFF"/>
        </w:rPr>
        <w:t>对10个项目开展了绩效自评，涉及资金537.84万元。</w:t>
      </w:r>
    </w:p>
    <w:p>
      <w:pPr>
        <w:pStyle w:val="2"/>
        <w:rPr>
          <w:rFonts w:ascii="方正仿宋_GBK" w:hAnsi="方正仿宋_GBK" w:eastAsia="方正仿宋_GBK" w:cs="方正仿宋_GBK"/>
          <w:color w:val="000000"/>
          <w:sz w:val="32"/>
          <w:szCs w:val="32"/>
          <w:shd w:val="clear" w:color="auto" w:fill="FFFFFF"/>
        </w:rPr>
      </w:pPr>
    </w:p>
    <w:tbl>
      <w:tblPr>
        <w:tblStyle w:val="9"/>
        <w:tblW w:w="90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12"/>
        <w:gridCol w:w="603"/>
        <w:gridCol w:w="305"/>
        <w:gridCol w:w="1202"/>
        <w:gridCol w:w="313"/>
        <w:gridCol w:w="1136"/>
        <w:gridCol w:w="544"/>
        <w:gridCol w:w="1110"/>
        <w:gridCol w:w="645"/>
        <w:gridCol w:w="552"/>
        <w:gridCol w:w="7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06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6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巫溪县融媒体中心整体自评</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4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50023800023P000078</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029-巫溪县融媒体中心</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财政归口科室：</w:t>
            </w:r>
          </w:p>
        </w:tc>
        <w:tc>
          <w:tcPr>
            <w:tcW w:w="14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005-行财科</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毛江燕</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15826311022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6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4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603"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05"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1,286.92 </w:t>
            </w:r>
          </w:p>
        </w:tc>
        <w:tc>
          <w:tcPr>
            <w:tcW w:w="313"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1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1,489.51 </w:t>
            </w:r>
          </w:p>
        </w:tc>
        <w:tc>
          <w:tcPr>
            <w:tcW w:w="544"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1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1,489.51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603"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05"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1,286.92 </w:t>
            </w:r>
          </w:p>
        </w:tc>
        <w:tc>
          <w:tcPr>
            <w:tcW w:w="313"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1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1,489.51 </w:t>
            </w:r>
          </w:p>
        </w:tc>
        <w:tc>
          <w:tcPr>
            <w:tcW w:w="544"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1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1,489.51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603"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05"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0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1,286.92 </w:t>
            </w:r>
          </w:p>
        </w:tc>
        <w:tc>
          <w:tcPr>
            <w:tcW w:w="313"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1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1,489.51 </w:t>
            </w:r>
          </w:p>
        </w:tc>
        <w:tc>
          <w:tcPr>
            <w:tcW w:w="544"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1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1,489.51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6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2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31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9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402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贯彻落实党的宣传路线、方针、政策，严格执行党的宣传纪律，把握正确的舆论导向。负责《巫溪新闻》、《巫溪报》、《巫溪手机报》、网站及新媒体等新闻信息采集、拍摄、撰稿等工作；负责《巫溪手机报》采集、编排、审查和发送等工作；负责《巫溪手机台》视频上载和采集、编排、制作、审查和发送等工作；负责“巫溪党政APP客户端”、“重庆巫溪微信公众号”、“巫溪电视台微信公众号”和“重庆巫溪微博”的编排、审查和发送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p>
        </w:tc>
        <w:tc>
          <w:tcPr>
            <w:tcW w:w="310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94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2023年，播出《巫溪新闻》1800余条，《巫溪报》共发行104期，共计稿件1900余篇。“重庆巫溪”微信公众号关注量达10.2万，推送消息1750条，”巫溪APP“下载量达55万，共发布稿件5000余篇，点击量累计达2000余万次，”巫溪手机台“上传视频新闻1859期；”巫溪手机报“编辑242期，4841条，共有10余万人订阅；其中，中央、市级主流媒体刊发巫溪报道1000余篇（条）。制作感动人物专题片10部。新开设栏目《百姓视点》48期，《云端高速通渝陕 记者带你去打探》直播活动，在重庆第1眼新闻、陕视直播、安康新闻、爱镇坪APP、巫溪APP、巫溪发布微信公众号等省、市、县域媒体直播间总浏览量破500万＋。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6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出版报刊期数</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期</w:t>
            </w: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刊发对外宣传报道数量</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手机报工作日每天24小时前推送期数</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期</w:t>
            </w: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巫溪新闻覆盖全县村、社区个数</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全县群众满意度</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pStyle w:val="3"/>
        <w:rPr>
          <w:rFonts w:hint="eastAsia" w:ascii="方正仿宋_GBK" w:hAnsi="方正仿宋_GBK" w:eastAsia="方正仿宋_GBK" w:cs="方正仿宋_GBK"/>
          <w:color w:val="000000"/>
          <w:sz w:val="32"/>
          <w:szCs w:val="32"/>
          <w:shd w:val="clear" w:color="auto" w:fill="FFFFFF"/>
          <w:lang w:val="en-US" w:eastAsia="zh-CN"/>
        </w:rPr>
      </w:pPr>
      <w:r>
        <w:rPr>
          <w:rFonts w:hint="eastAsia" w:ascii="方正仿宋_GBK" w:hAnsi="方正仿宋_GBK" w:eastAsia="方正仿宋_GBK" w:cs="方正仿宋_GBK"/>
          <w:color w:val="000000"/>
          <w:sz w:val="32"/>
          <w:szCs w:val="32"/>
          <w:shd w:val="clear" w:color="auto" w:fill="FFFFFF"/>
          <w:lang w:val="en-US" w:eastAsia="zh-CN"/>
        </w:rPr>
        <w:t xml:space="preserve"> </w:t>
      </w:r>
    </w:p>
    <w:p>
      <w:pPr>
        <w:rPr>
          <w:rFonts w:hint="eastAsia" w:ascii="方正仿宋_GBK" w:hAnsi="方正仿宋_GBK" w:eastAsia="方正仿宋_GBK" w:cs="方正仿宋_GBK"/>
          <w:color w:val="000000"/>
          <w:sz w:val="32"/>
          <w:szCs w:val="32"/>
          <w:shd w:val="clear" w:color="auto" w:fill="FFFFFF"/>
          <w:lang w:val="en-US" w:eastAsia="zh-CN"/>
        </w:rPr>
      </w:pPr>
    </w:p>
    <w:p>
      <w:pPr>
        <w:pStyle w:val="2"/>
        <w:rPr>
          <w:rFonts w:hint="eastAsia"/>
          <w:lang w:val="en-US" w:eastAsia="zh-CN"/>
        </w:rPr>
      </w:pPr>
    </w:p>
    <w:tbl>
      <w:tblPr>
        <w:tblStyle w:val="9"/>
        <w:tblW w:w="94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68"/>
        <w:gridCol w:w="732"/>
        <w:gridCol w:w="555"/>
        <w:gridCol w:w="780"/>
        <w:gridCol w:w="885"/>
        <w:gridCol w:w="915"/>
        <w:gridCol w:w="655"/>
        <w:gridCol w:w="783"/>
        <w:gridCol w:w="616"/>
        <w:gridCol w:w="815"/>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43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bookmarkStart w:id="0" w:name="_GoBack"/>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3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巫溪手机报（2023年）</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50023823T000003438541</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3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029-巫溪县融媒体中心</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财政归口科室：</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005-行财科</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3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毛江燕</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18680938100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3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32"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55"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885"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655"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83"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32"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55"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885"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655"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8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6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32"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55"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885"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655"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8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3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6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32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363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对接华龙网手机报平台，应用手机彩信形式，编发巫溪手机报270期，向全县人民及时传递党委政府声音，反映工作动态，提升主流媒体的影响力、引导力、公信力和传播力。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p>
        </w:tc>
        <w:tc>
          <w:tcPr>
            <w:tcW w:w="323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对接华龙网手机报平台，编发巫溪手机报270期，4841条，共有10余万人订阅，提升了主流媒体的影响力、引导力、公信力和传播力。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3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工作日出刊手机报期数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期</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工作日每天24时前推送期数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期</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巫溪手机报平台维护费支出</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订阅人数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万户</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全县阅读群众满意度</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bookmarkEnd w:id="0"/>
    </w:tbl>
    <w:p>
      <w:pPr>
        <w:pStyle w:val="13"/>
        <w:autoSpaceDE w:val="0"/>
        <w:ind w:firstLine="640"/>
        <w:rPr>
          <w:rFonts w:ascii="Times New Roman" w:hAnsi="Times New Roman" w:eastAsia="方正仿宋_GBK"/>
          <w:color w:val="000000"/>
          <w:sz w:val="32"/>
          <w:szCs w:val="32"/>
          <w:lang w:bidi="ar"/>
        </w:rPr>
      </w:pPr>
    </w:p>
    <w:p>
      <w:pPr>
        <w:pStyle w:val="13"/>
        <w:autoSpaceDE w:val="0"/>
        <w:adjustRightInd w:val="0"/>
        <w:snapToGrid w:val="0"/>
        <w:spacing w:line="600" w:lineRule="exact"/>
        <w:ind w:firstLine="480"/>
        <w:jc w:val="both"/>
        <w:rPr>
          <w:rFonts w:hint="eastAsia"/>
        </w:rPr>
        <w:sectPr>
          <w:footerReference r:id="rId3" w:type="default"/>
          <w:pgSz w:w="11915" w:h="16840"/>
          <w:pgMar w:top="2098" w:right="1474" w:bottom="1474" w:left="1588" w:header="851" w:footer="992" w:gutter="0"/>
          <w:pgNumType w:fmt="numberInDash"/>
          <w:cols w:space="720" w:num="1"/>
          <w:docGrid w:type="lines" w:linePitch="312" w:charSpace="0"/>
        </w:sectPr>
      </w:pPr>
    </w:p>
    <w:p>
      <w:pPr>
        <w:spacing w:line="594" w:lineRule="exact"/>
        <w:ind w:firstLine="642" w:firstLineChars="200"/>
        <w:jc w:val="both"/>
        <w:rPr>
          <w:rFonts w:ascii="方正楷体_GBK" w:hAnsi="方正楷体_GBK" w:eastAsia="方正楷体_GBK" w:cs="方正楷体_GBK"/>
          <w:b/>
          <w:bCs/>
          <w:sz w:val="32"/>
          <w:szCs w:val="32"/>
          <w:highlight w:val="yellow"/>
          <w:shd w:val="clear" w:color="auto" w:fill="FFFFFF"/>
        </w:rPr>
      </w:pPr>
      <w:r>
        <w:rPr>
          <w:rFonts w:ascii="方正楷体_GBK" w:hAnsi="方正楷体_GBK" w:eastAsia="方正楷体_GBK" w:cs="方正楷体_GBK"/>
          <w:b/>
          <w:bCs/>
          <w:sz w:val="32"/>
          <w:szCs w:val="32"/>
          <w:shd w:val="clear" w:color="auto" w:fill="FFFFFF"/>
        </w:rPr>
        <w:t>（二）单位绩效评价情况</w:t>
      </w:r>
    </w:p>
    <w:p>
      <w:pPr>
        <w:pStyle w:val="13"/>
        <w:autoSpaceDE w:val="0"/>
        <w:ind w:firstLine="640"/>
        <w:rPr>
          <w:rFonts w:eastAsia="方正仿宋_GBK" w:cs="方正仿宋_GBK" w:asciiTheme="minorHAnsi" w:hAnsiTheme="minorHAnsi"/>
          <w:color w:val="000000"/>
          <w:sz w:val="32"/>
          <w:szCs w:val="32"/>
          <w:shd w:val="clear" w:color="auto" w:fill="FFFFFF"/>
        </w:rPr>
      </w:pPr>
      <w:r>
        <w:rPr>
          <w:rFonts w:ascii="方正仿宋_GBK" w:hAnsi="方正仿宋_GBK" w:eastAsia="方正仿宋_GBK" w:cs="方正仿宋_GBK"/>
          <w:color w:val="000000"/>
          <w:sz w:val="32"/>
          <w:szCs w:val="32"/>
          <w:shd w:val="clear" w:color="auto" w:fill="FFFFFF"/>
        </w:rPr>
        <w:t>我</w:t>
      </w:r>
      <w:r>
        <w:rPr>
          <w:rFonts w:hint="eastAsia" w:ascii="方正仿宋_GBK" w:hAnsi="方正仿宋_GBK" w:eastAsia="方正仿宋_GBK" w:cs="方正仿宋_GBK"/>
          <w:color w:val="000000"/>
          <w:sz w:val="32"/>
          <w:szCs w:val="32"/>
          <w:shd w:val="clear" w:color="auto" w:fill="FFFFFF"/>
          <w:lang w:val="en-US" w:eastAsia="zh-CN"/>
        </w:rPr>
        <w:t>部门</w:t>
      </w:r>
      <w:r>
        <w:rPr>
          <w:rFonts w:ascii="方正仿宋_GBK" w:hAnsi="方正仿宋_GBK" w:eastAsia="方正仿宋_GBK" w:cs="方正仿宋_GBK"/>
          <w:color w:val="000000"/>
          <w:sz w:val="32"/>
          <w:szCs w:val="32"/>
          <w:shd w:val="clear" w:color="auto" w:fill="FFFFFF"/>
        </w:rPr>
        <w:t>未组织开展绩效评价。</w:t>
      </w:r>
    </w:p>
    <w:p>
      <w:pPr>
        <w:pStyle w:val="13"/>
        <w:autoSpaceDE w:val="0"/>
        <w:ind w:firstLine="640"/>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（三）财政绩效评价情况</w:t>
      </w:r>
    </w:p>
    <w:p>
      <w:pPr>
        <w:pStyle w:val="8"/>
        <w:shd w:val="clear" w:color="auto" w:fill="FFFFFF"/>
        <w:adjustRightInd w:val="0"/>
        <w:snapToGrid w:val="0"/>
        <w:spacing w:before="0" w:beforeAutospacing="0" w:after="0" w:afterAutospacing="0" w:line="600" w:lineRule="exact"/>
        <w:ind w:left="640"/>
        <w:jc w:val="both"/>
        <w:rPr>
          <w:rStyle w:val="12"/>
          <w:rFonts w:ascii="方正仿宋_GBK" w:hAnsi="方正仿宋_GBK" w:eastAsia="方正仿宋_GBK" w:cs="方正仿宋_GBK"/>
          <w:b w:val="0"/>
          <w:bCs/>
          <w:sz w:val="32"/>
          <w:szCs w:val="32"/>
          <w:shd w:val="clear" w:color="auto" w:fill="FFFFFF"/>
        </w:rPr>
      </w:pPr>
      <w:r>
        <w:rPr>
          <w:rFonts w:ascii="方正仿宋_GBK" w:hAnsi="方正仿宋_GBK" w:eastAsia="方正仿宋_GBK" w:cs="方正仿宋_GBK"/>
          <w:color w:val="000000"/>
          <w:sz w:val="32"/>
          <w:szCs w:val="32"/>
          <w:lang w:bidi="ar"/>
        </w:rPr>
        <w:t>县财政局未委托第三方对我</w:t>
      </w:r>
      <w:r>
        <w:rPr>
          <w:rFonts w:hint="eastAsia" w:ascii="方正仿宋_GBK" w:hAnsi="方正仿宋_GBK" w:eastAsia="方正仿宋_GBK" w:cs="方正仿宋_GBK"/>
          <w:color w:val="000000"/>
          <w:sz w:val="32"/>
          <w:szCs w:val="32"/>
          <w:lang w:val="en-US" w:eastAsia="zh-CN" w:bidi="ar"/>
        </w:rPr>
        <w:t>部门</w:t>
      </w:r>
      <w:r>
        <w:rPr>
          <w:rFonts w:ascii="方正仿宋_GBK" w:hAnsi="方正仿宋_GBK" w:eastAsia="方正仿宋_GBK" w:cs="方正仿宋_GBK"/>
          <w:color w:val="000000"/>
          <w:sz w:val="32"/>
          <w:szCs w:val="32"/>
          <w:lang w:bidi="ar"/>
        </w:rPr>
        <w:t>开展绩效评价。</w:t>
      </w:r>
    </w:p>
    <w:p>
      <w:pPr>
        <w:pStyle w:val="8"/>
        <w:shd w:val="clear" w:color="auto" w:fill="FFFFFF"/>
        <w:adjustRightInd w:val="0"/>
        <w:snapToGrid w:val="0"/>
        <w:spacing w:before="0" w:beforeAutospacing="0" w:after="0" w:afterAutospacing="0" w:line="600" w:lineRule="exact"/>
        <w:ind w:left="640"/>
        <w:jc w:val="both"/>
        <w:rPr>
          <w:rStyle w:val="12"/>
          <w:rFonts w:ascii="方正黑体_GBK" w:hAnsi="方正黑体_GBK" w:eastAsia="方正黑体_GBK" w:cs="方正黑体_GBK"/>
          <w:b w:val="0"/>
          <w:bCs/>
          <w:shd w:val="clear" w:color="auto" w:fill="FFFFFF"/>
        </w:rPr>
      </w:pPr>
      <w:r>
        <w:rPr>
          <w:rStyle w:val="12"/>
          <w:rFonts w:ascii="方正黑体_GBK" w:hAnsi="方正黑体_GBK" w:eastAsia="方正黑体_GBK" w:cs="方正黑体_GBK"/>
          <w:b w:val="0"/>
          <w:bCs/>
          <w:sz w:val="32"/>
          <w:szCs w:val="32"/>
          <w:shd w:val="clear" w:color="auto" w:fill="FFFFFF"/>
        </w:rPr>
        <w:t>六、专业名词解释</w:t>
      </w:r>
    </w:p>
    <w:p>
      <w:pPr>
        <w:pStyle w:val="8"/>
        <w:adjustRightInd w:val="0"/>
        <w:snapToGrid w:val="0"/>
        <w:spacing w:before="0" w:beforeAutospacing="0" w:after="0" w:afterAutospacing="0" w:line="600" w:lineRule="exact"/>
        <w:ind w:firstLine="642" w:firstLineChars="200"/>
        <w:jc w:val="both"/>
        <w:rPr>
          <w:rFonts w:ascii="方正仿宋_GBK" w:hAnsi="方正仿宋_GBK" w:eastAsia="方正仿宋_GBK" w:cs="方正仿宋_GBK"/>
          <w:sz w:val="32"/>
          <w:szCs w:val="32"/>
        </w:rPr>
      </w:pPr>
      <w:r>
        <w:rPr>
          <w:rFonts w:ascii="方正楷体_GBK" w:hAnsi="方正楷体_GBK" w:eastAsia="方正楷体_GBK" w:cs="方正楷体_GBK"/>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8"/>
        <w:adjustRightInd w:val="0"/>
        <w:snapToGrid w:val="0"/>
        <w:spacing w:before="0" w:beforeAutospacing="0" w:after="0" w:afterAutospacing="0" w:line="600" w:lineRule="exact"/>
        <w:ind w:firstLine="642" w:firstLineChars="200"/>
        <w:jc w:val="both"/>
        <w:rPr>
          <w:rFonts w:ascii="方正仿宋_GBK" w:hAnsi="方正仿宋_GBK" w:eastAsia="方正仿宋_GBK" w:cs="方正仿宋_GBK"/>
          <w:sz w:val="32"/>
          <w:szCs w:val="32"/>
        </w:rPr>
      </w:pPr>
      <w:r>
        <w:rPr>
          <w:rFonts w:ascii="方正楷体_GBK" w:hAnsi="方正楷体_GBK" w:eastAsia="方正楷体_GBK" w:cs="方正楷体_GBK"/>
          <w:b/>
          <w:sz w:val="32"/>
          <w:szCs w:val="32"/>
        </w:rPr>
        <w:t>（二）事业收入</w:t>
      </w:r>
      <w:r>
        <w:rPr>
          <w:rFonts w:ascii="方正楷体_GBK" w:hAnsi="方正楷体_GBK" w:eastAsia="方正楷体_GBK" w:cs="方正楷体_GBK"/>
          <w:b/>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8"/>
        <w:adjustRightInd w:val="0"/>
        <w:snapToGrid w:val="0"/>
        <w:spacing w:before="0" w:beforeAutospacing="0" w:after="0" w:afterAutospacing="0" w:line="600" w:lineRule="exact"/>
        <w:ind w:firstLine="642" w:firstLineChars="200"/>
        <w:jc w:val="both"/>
        <w:rPr>
          <w:rFonts w:ascii="方正仿宋_GBK" w:hAnsi="方正仿宋_GBK" w:eastAsia="方正仿宋_GBK" w:cs="方正仿宋_GBK"/>
          <w:sz w:val="32"/>
          <w:szCs w:val="32"/>
        </w:rPr>
      </w:pPr>
      <w:r>
        <w:rPr>
          <w:rStyle w:val="12"/>
          <w:rFonts w:ascii="方正楷体_GBK" w:hAnsi="方正楷体_GBK" w:eastAsia="方正楷体_GBK" w:cs="方正楷体_GBK"/>
          <w:sz w:val="32"/>
          <w:szCs w:val="32"/>
          <w:shd w:val="clear" w:color="auto" w:fill="FFFFFF"/>
        </w:rPr>
        <w:t>（三）经营收入</w:t>
      </w:r>
      <w:r>
        <w:rPr>
          <w:rFonts w:ascii="方正楷体_GBK" w:hAnsi="方正楷体_GBK" w:eastAsia="方正楷体_GBK" w:cs="方正楷体_GBK"/>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8"/>
        <w:adjustRightInd w:val="0"/>
        <w:snapToGrid w:val="0"/>
        <w:spacing w:before="0" w:beforeAutospacing="0" w:after="0" w:afterAutospacing="0" w:line="600" w:lineRule="exact"/>
        <w:ind w:firstLine="642" w:firstLineChars="200"/>
        <w:jc w:val="both"/>
        <w:rPr>
          <w:rFonts w:ascii="方正仿宋_GBK" w:hAnsi="方正仿宋_GBK" w:eastAsia="方正仿宋_GBK" w:cs="方正仿宋_GBK"/>
          <w:sz w:val="32"/>
          <w:szCs w:val="32"/>
        </w:rPr>
      </w:pPr>
      <w:r>
        <w:rPr>
          <w:rStyle w:val="12"/>
          <w:rFonts w:ascii="方正楷体_GBK" w:hAnsi="方正楷体_GBK" w:eastAsia="方正楷体_GBK" w:cs="方正楷体_GBK"/>
          <w:sz w:val="32"/>
          <w:szCs w:val="32"/>
          <w:shd w:val="clear" w:color="auto" w:fill="FFFFFF"/>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adjustRightInd w:val="0"/>
        <w:snapToGrid w:val="0"/>
        <w:spacing w:before="0" w:beforeAutospacing="0" w:after="0" w:afterAutospacing="0" w:line="600" w:lineRule="exact"/>
        <w:ind w:firstLine="642" w:firstLineChars="200"/>
        <w:jc w:val="both"/>
        <w:rPr>
          <w:rFonts w:ascii="方正仿宋_GBK" w:hAnsi="方正仿宋_GBK" w:eastAsia="方正仿宋_GBK" w:cs="方正仿宋_GBK"/>
          <w:sz w:val="32"/>
          <w:szCs w:val="32"/>
        </w:rPr>
      </w:pPr>
      <w:r>
        <w:rPr>
          <w:rStyle w:val="12"/>
          <w:rFonts w:ascii="方正楷体_GBK" w:hAnsi="方正楷体_GBK" w:eastAsia="方正楷体_GBK" w:cs="方正楷体_GBK"/>
          <w:sz w:val="32"/>
          <w:szCs w:val="32"/>
          <w:shd w:val="clear" w:color="auto" w:fill="FFFFFF"/>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8"/>
        <w:adjustRightInd w:val="0"/>
        <w:snapToGrid w:val="0"/>
        <w:spacing w:before="0" w:beforeAutospacing="0" w:after="0" w:afterAutospacing="0" w:line="600" w:lineRule="exact"/>
        <w:ind w:firstLine="642" w:firstLineChars="200"/>
        <w:jc w:val="both"/>
        <w:rPr>
          <w:rFonts w:ascii="方正仿宋_GBK" w:hAnsi="方正仿宋_GBK" w:eastAsia="方正仿宋_GBK" w:cs="方正仿宋_GBK"/>
          <w:sz w:val="32"/>
          <w:szCs w:val="32"/>
        </w:rPr>
      </w:pPr>
      <w:r>
        <w:rPr>
          <w:rStyle w:val="12"/>
          <w:rFonts w:ascii="方正楷体_GBK" w:hAnsi="方正楷体_GBK" w:eastAsia="方正楷体_GBK" w:cs="方正楷体_GBK"/>
          <w:sz w:val="32"/>
          <w:szCs w:val="32"/>
          <w:shd w:val="clear" w:color="auto" w:fill="FFFFFF"/>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8"/>
        <w:adjustRightInd w:val="0"/>
        <w:snapToGrid w:val="0"/>
        <w:spacing w:before="0" w:beforeAutospacing="0" w:after="0" w:afterAutospacing="0" w:line="600" w:lineRule="exact"/>
        <w:ind w:firstLine="642" w:firstLineChars="200"/>
        <w:jc w:val="both"/>
        <w:rPr>
          <w:rFonts w:ascii="方正仿宋_GBK" w:hAnsi="方正仿宋_GBK" w:eastAsia="方正仿宋_GBK" w:cs="方正仿宋_GBK"/>
          <w:sz w:val="32"/>
          <w:szCs w:val="32"/>
        </w:rPr>
      </w:pPr>
      <w:r>
        <w:rPr>
          <w:rStyle w:val="12"/>
          <w:rFonts w:ascii="方正楷体_GBK" w:hAnsi="方正楷体_GBK" w:eastAsia="方正楷体_GBK" w:cs="方正楷体_GBK"/>
          <w:sz w:val="32"/>
          <w:szCs w:val="32"/>
          <w:shd w:val="clear" w:color="auto" w:fill="FFFFFF"/>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8"/>
        <w:adjustRightInd w:val="0"/>
        <w:snapToGrid w:val="0"/>
        <w:spacing w:before="0" w:beforeAutospacing="0" w:after="0" w:afterAutospacing="0" w:line="600" w:lineRule="exact"/>
        <w:ind w:firstLine="642" w:firstLineChars="200"/>
        <w:jc w:val="both"/>
        <w:rPr>
          <w:rFonts w:ascii="方正仿宋_GBK" w:hAnsi="方正仿宋_GBK" w:eastAsia="方正仿宋_GBK" w:cs="方正仿宋_GBK"/>
          <w:sz w:val="32"/>
          <w:szCs w:val="32"/>
        </w:rPr>
      </w:pPr>
      <w:r>
        <w:rPr>
          <w:rStyle w:val="12"/>
          <w:rFonts w:ascii="方正楷体_GBK" w:hAnsi="方正楷体_GBK" w:eastAsia="方正楷体_GBK" w:cs="方正楷体_GBK"/>
          <w:sz w:val="32"/>
          <w:szCs w:val="32"/>
          <w:shd w:val="clear" w:color="auto" w:fill="FFFFFF"/>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8"/>
        <w:adjustRightInd w:val="0"/>
        <w:snapToGrid w:val="0"/>
        <w:spacing w:before="0" w:beforeAutospacing="0" w:after="0" w:afterAutospacing="0" w:line="600" w:lineRule="exact"/>
        <w:ind w:firstLine="642" w:firstLineChars="200"/>
        <w:jc w:val="both"/>
        <w:rPr>
          <w:rFonts w:ascii="方正仿宋_GBK" w:hAnsi="方正仿宋_GBK" w:eastAsia="方正仿宋_GBK" w:cs="方正仿宋_GBK"/>
          <w:sz w:val="32"/>
          <w:szCs w:val="32"/>
        </w:rPr>
      </w:pPr>
      <w:r>
        <w:rPr>
          <w:rStyle w:val="12"/>
          <w:rFonts w:ascii="方正楷体_GBK" w:hAnsi="方正楷体_GBK" w:eastAsia="方正楷体_GBK" w:cs="方正楷体_GBK"/>
          <w:sz w:val="32"/>
          <w:szCs w:val="32"/>
          <w:shd w:val="clear" w:color="auto" w:fill="FFFFFF"/>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adjustRightInd w:val="0"/>
        <w:snapToGrid w:val="0"/>
        <w:spacing w:before="0" w:beforeAutospacing="0" w:after="0" w:afterAutospacing="0" w:line="600" w:lineRule="exact"/>
        <w:ind w:firstLine="642" w:firstLineChars="200"/>
        <w:jc w:val="both"/>
        <w:rPr>
          <w:rFonts w:ascii="方正仿宋_GBK" w:hAnsi="方正仿宋_GBK" w:eastAsia="方正仿宋_GBK" w:cs="方正仿宋_GBK"/>
          <w:sz w:val="32"/>
          <w:szCs w:val="32"/>
        </w:rPr>
      </w:pPr>
      <w:r>
        <w:rPr>
          <w:rStyle w:val="12"/>
          <w:rFonts w:ascii="方正楷体_GBK" w:hAnsi="方正楷体_GBK" w:eastAsia="方正楷体_GBK" w:cs="方正楷体_GBK"/>
          <w:sz w:val="32"/>
          <w:szCs w:val="32"/>
          <w:shd w:val="clear" w:color="auto" w:fill="FFFFFF"/>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8"/>
        <w:adjustRightInd w:val="0"/>
        <w:snapToGrid w:val="0"/>
        <w:spacing w:before="0" w:beforeAutospacing="0" w:after="0" w:afterAutospacing="0" w:line="600" w:lineRule="exact"/>
        <w:ind w:firstLine="642" w:firstLineChars="200"/>
        <w:jc w:val="both"/>
        <w:rPr>
          <w:rFonts w:ascii="方正仿宋_GBK" w:hAnsi="方正仿宋_GBK" w:eastAsia="方正仿宋_GBK" w:cs="方正仿宋_GBK"/>
          <w:sz w:val="32"/>
          <w:szCs w:val="32"/>
        </w:rPr>
      </w:pPr>
      <w:r>
        <w:rPr>
          <w:rStyle w:val="12"/>
          <w:rFonts w:ascii="方正楷体_GBK" w:hAnsi="方正楷体_GBK" w:eastAsia="方正楷体_GBK" w:cs="方正楷体_GBK"/>
          <w:sz w:val="32"/>
          <w:szCs w:val="32"/>
          <w:shd w:val="clear" w:color="auto" w:fill="FFFFFF"/>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8"/>
        <w:adjustRightInd w:val="0"/>
        <w:snapToGrid w:val="0"/>
        <w:spacing w:before="0" w:beforeAutospacing="0" w:after="0" w:afterAutospacing="0" w:line="600" w:lineRule="exact"/>
        <w:ind w:firstLine="642" w:firstLineChars="200"/>
        <w:jc w:val="both"/>
        <w:rPr>
          <w:rFonts w:ascii="方正仿宋_GBK" w:hAnsi="方正仿宋_GBK" w:eastAsia="方正仿宋_GBK" w:cs="方正仿宋_GBK"/>
          <w:sz w:val="32"/>
          <w:szCs w:val="32"/>
        </w:rPr>
      </w:pPr>
      <w:r>
        <w:rPr>
          <w:rStyle w:val="12"/>
          <w:rFonts w:ascii="方正楷体_GBK" w:hAnsi="方正楷体_GBK" w:eastAsia="方正楷体_GBK" w:cs="方正楷体_GBK"/>
          <w:sz w:val="32"/>
          <w:szCs w:val="32"/>
          <w:shd w:val="clear" w:color="auto" w:fill="FFFFFF"/>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adjustRightInd w:val="0"/>
        <w:snapToGrid w:val="0"/>
        <w:spacing w:before="0" w:beforeAutospacing="0" w:after="0" w:afterAutospacing="0" w:line="600" w:lineRule="exact"/>
        <w:ind w:firstLine="642" w:firstLineChars="200"/>
        <w:jc w:val="both"/>
        <w:rPr>
          <w:rFonts w:ascii="方正仿宋_GBK" w:hAnsi="方正仿宋_GBK" w:eastAsia="方正仿宋_GBK" w:cs="方正仿宋_GBK"/>
          <w:sz w:val="32"/>
          <w:szCs w:val="32"/>
        </w:rPr>
      </w:pPr>
      <w:r>
        <w:rPr>
          <w:rStyle w:val="12"/>
          <w:rFonts w:ascii="方正楷体_GBK" w:hAnsi="方正楷体_GBK" w:eastAsia="方正楷体_GBK" w:cs="方正楷体_GBK"/>
          <w:sz w:val="32"/>
          <w:szCs w:val="32"/>
          <w:shd w:val="clear" w:color="auto" w:fill="FFFFFF"/>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adjustRightInd w:val="0"/>
        <w:snapToGrid w:val="0"/>
        <w:spacing w:before="0" w:beforeAutospacing="0" w:after="0" w:afterAutospacing="0" w:line="600" w:lineRule="exact"/>
        <w:ind w:firstLine="642" w:firstLineChars="200"/>
        <w:jc w:val="both"/>
        <w:rPr>
          <w:rFonts w:ascii="方正仿宋_GBK" w:hAnsi="方正仿宋_GBK" w:eastAsia="方正仿宋_GBK" w:cs="方正仿宋_GBK"/>
          <w:sz w:val="32"/>
          <w:szCs w:val="32"/>
        </w:rPr>
      </w:pPr>
      <w:r>
        <w:rPr>
          <w:rStyle w:val="12"/>
          <w:rFonts w:ascii="方正楷体_GBK" w:hAnsi="方正楷体_GBK" w:eastAsia="方正楷体_GBK" w:cs="方正楷体_GBK"/>
          <w:sz w:val="32"/>
          <w:szCs w:val="32"/>
          <w:shd w:val="clear" w:color="auto" w:fill="FFFFFF"/>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8"/>
        <w:adjustRightInd w:val="0"/>
        <w:snapToGrid w:val="0"/>
        <w:spacing w:before="0" w:beforeAutospacing="0" w:after="0" w:afterAutospacing="0" w:line="600" w:lineRule="exact"/>
        <w:ind w:firstLine="642" w:firstLineChars="200"/>
        <w:jc w:val="both"/>
        <w:rPr>
          <w:rFonts w:ascii="方正仿宋_GBK" w:hAnsi="方正仿宋_GBK" w:eastAsia="方正仿宋_GBK" w:cs="方正仿宋_GBK"/>
          <w:sz w:val="32"/>
          <w:szCs w:val="32"/>
        </w:rPr>
      </w:pPr>
      <w:r>
        <w:rPr>
          <w:rStyle w:val="12"/>
          <w:rFonts w:ascii="方正楷体_GBK" w:hAnsi="方正楷体_GBK" w:eastAsia="方正楷体_GBK" w:cs="方正楷体_GBK"/>
          <w:sz w:val="32"/>
          <w:szCs w:val="32"/>
          <w:shd w:val="clear" w:color="auto" w:fill="FFFFFF"/>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8"/>
        <w:adjustRightInd w:val="0"/>
        <w:snapToGrid w:val="0"/>
        <w:spacing w:before="0" w:beforeAutospacing="0" w:after="0" w:afterAutospacing="0" w:line="600" w:lineRule="exact"/>
        <w:ind w:firstLine="642" w:firstLineChars="200"/>
        <w:jc w:val="both"/>
        <w:rPr>
          <w:rFonts w:ascii="方正仿宋_GBK" w:hAnsi="方正仿宋_GBK" w:eastAsia="方正仿宋_GBK" w:cs="方正仿宋_GBK"/>
          <w:sz w:val="32"/>
          <w:szCs w:val="32"/>
        </w:rPr>
      </w:pPr>
      <w:r>
        <w:rPr>
          <w:rStyle w:val="12"/>
          <w:rFonts w:ascii="方正楷体_GBK" w:hAnsi="方正楷体_GBK" w:eastAsia="方正楷体_GBK" w:cs="方正楷体_GBK"/>
          <w:sz w:val="32"/>
          <w:szCs w:val="32"/>
          <w:shd w:val="clear" w:color="auto" w:fill="FFFFFF"/>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8"/>
        <w:adjustRightInd w:val="0"/>
        <w:snapToGrid w:val="0"/>
        <w:spacing w:before="0" w:beforeAutospacing="0" w:after="0" w:afterAutospacing="0" w:line="600" w:lineRule="exact"/>
        <w:ind w:firstLine="642" w:firstLineChars="200"/>
        <w:jc w:val="both"/>
        <w:rPr>
          <w:rFonts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方正楷体_GBK" w:hAnsi="方正楷体_GBK" w:eastAsia="方正楷体_GBK" w:cs="方正楷体_GBK"/>
          <w:sz w:val="32"/>
          <w:szCs w:val="32"/>
          <w:shd w:val="clear" w:color="auto" w:fill="FFFFFF"/>
        </w:rPr>
        <w:t>（十七）其他资本性支出（支出经济分类科目类级）</w:t>
      </w:r>
      <w:r>
        <w:rPr>
          <w:rFonts w:ascii="方正楷体_GBK" w:hAnsi="方正楷体_GBK" w:eastAsia="方正楷体_GBK" w:cs="方正楷体_GBK"/>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shd w:val="clear" w:color="auto" w:fill="FFFFFF"/>
        <w:adjustRightInd w:val="0"/>
        <w:snapToGrid w:val="0"/>
        <w:spacing w:before="0" w:beforeAutospacing="0" w:after="0" w:afterAutospacing="0" w:line="600" w:lineRule="exact"/>
        <w:ind w:left="640"/>
        <w:jc w:val="both"/>
        <w:rPr>
          <w:rStyle w:val="12"/>
          <w:rFonts w:ascii="方正黑体_GBK" w:hAnsi="方正黑体_GBK" w:eastAsia="方正黑体_GBK" w:cs="方正黑体_GBK"/>
          <w:b w:val="0"/>
          <w:bCs/>
          <w:sz w:val="32"/>
          <w:szCs w:val="32"/>
          <w:shd w:val="clear" w:color="auto" w:fill="FFFFFF"/>
        </w:rPr>
      </w:pPr>
      <w:r>
        <w:rPr>
          <w:rStyle w:val="12"/>
          <w:rFonts w:ascii="方正黑体_GBK" w:hAnsi="方正黑体_GBK" w:eastAsia="方正黑体_GBK" w:cs="方正黑体_GBK"/>
          <w:b w:val="0"/>
          <w:bCs/>
          <w:sz w:val="32"/>
          <w:szCs w:val="32"/>
          <w:shd w:val="clear" w:color="auto" w:fill="FFFFFF"/>
        </w:rPr>
        <w:t>七、决算公开联系方式及信息反馈渠道</w:t>
      </w:r>
    </w:p>
    <w:p>
      <w:pPr>
        <w:widowControl w:val="0"/>
        <w:autoSpaceDE w:val="0"/>
        <w:adjustRightInd w:val="0"/>
        <w:snapToGrid w:val="0"/>
        <w:spacing w:line="600" w:lineRule="exact"/>
        <w:ind w:firstLine="640" w:firstLineChars="200"/>
        <w:jc w:val="both"/>
        <w:rPr>
          <w:rFonts w:ascii="方正仿宋_GBK" w:hAnsi="方正仿宋_GBK" w:eastAsia="方正仿宋_GBK" w:cs="方正仿宋_GBK"/>
          <w:color w:val="000000"/>
          <w:sz w:val="32"/>
          <w:szCs w:val="32"/>
          <w:shd w:val="clear" w:color="auto" w:fill="FFFFFF"/>
        </w:rPr>
      </w:pPr>
      <w:r>
        <w:rPr>
          <w:rFonts w:ascii="方正仿宋_GBK" w:hAnsi="方正仿宋_GBK" w:eastAsia="方正仿宋_GBK" w:cs="方正仿宋_GBK"/>
          <w:color w:val="000000"/>
          <w:sz w:val="32"/>
          <w:szCs w:val="32"/>
          <w:shd w:val="clear" w:color="auto" w:fill="FFFFFF"/>
        </w:rPr>
        <w:t>本</w:t>
      </w:r>
      <w:r>
        <w:rPr>
          <w:rFonts w:hint="eastAsia" w:ascii="方正仿宋_GBK" w:hAnsi="方正仿宋_GBK" w:eastAsia="方正仿宋_GBK" w:cs="方正仿宋_GBK"/>
          <w:color w:val="000000"/>
          <w:sz w:val="32"/>
          <w:szCs w:val="32"/>
          <w:shd w:val="clear" w:color="auto" w:fill="FFFFFF"/>
          <w:lang w:val="en-US" w:eastAsia="zh-CN"/>
        </w:rPr>
        <w:t>单位</w:t>
      </w:r>
      <w:r>
        <w:rPr>
          <w:rFonts w:ascii="方正仿宋_GBK" w:hAnsi="方正仿宋_GBK" w:eastAsia="方正仿宋_GBK" w:cs="方正仿宋_GBK"/>
          <w:color w:val="000000"/>
          <w:sz w:val="32"/>
          <w:szCs w:val="32"/>
          <w:shd w:val="clear" w:color="auto" w:fill="FFFFFF"/>
        </w:rPr>
        <w:t>决算公开信息反馈和联系方式：</w:t>
      </w:r>
    </w:p>
    <w:p>
      <w:pPr>
        <w:widowControl w:val="0"/>
        <w:autoSpaceDE w:val="0"/>
        <w:adjustRightInd w:val="0"/>
        <w:snapToGrid w:val="0"/>
        <w:spacing w:line="600" w:lineRule="exact"/>
        <w:ind w:firstLine="640" w:firstLineChars="200"/>
        <w:jc w:val="both"/>
        <w:rPr>
          <w:rStyle w:val="12"/>
          <w:rFonts w:hint="default" w:ascii="方正仿宋_GBK" w:hAnsi="方正仿宋_GBK" w:eastAsia="方正仿宋_GBK" w:cs="方正仿宋_GBK"/>
          <w:sz w:val="32"/>
          <w:szCs w:val="32"/>
          <w:shd w:val="clear" w:color="auto" w:fill="FFFF00"/>
          <w:lang w:val="en-US"/>
        </w:rPr>
        <w:sectPr>
          <w:pgSz w:w="11915" w:h="16840"/>
          <w:pgMar w:top="2098" w:right="1474" w:bottom="1474" w:left="1588" w:header="851" w:footer="992" w:gutter="0"/>
          <w:pgNumType w:fmt="numberInDash"/>
          <w:cols w:space="720" w:num="1"/>
          <w:docGrid w:type="lines" w:linePitch="312" w:charSpace="0"/>
        </w:sectPr>
      </w:pPr>
      <w:r>
        <w:rPr>
          <w:rFonts w:ascii="方正仿宋_GBK" w:hAnsi="方正仿宋_GBK" w:eastAsia="方正仿宋_GBK" w:cs="方正仿宋_GBK"/>
          <w:color w:val="000000"/>
          <w:sz w:val="32"/>
          <w:szCs w:val="32"/>
          <w:shd w:val="clear" w:color="auto" w:fill="FFFFFF"/>
        </w:rPr>
        <w:t xml:space="preserve">毛江燕 </w:t>
      </w:r>
      <w:r>
        <w:rPr>
          <w:rFonts w:hint="eastAsia" w:ascii="方正仿宋_GBK" w:hAnsi="方正仿宋_GBK" w:eastAsia="方正仿宋_GBK" w:cs="方正仿宋_GBK"/>
          <w:color w:val="000000"/>
          <w:sz w:val="32"/>
          <w:szCs w:val="32"/>
          <w:shd w:val="clear" w:color="auto" w:fill="FFFFFF"/>
          <w:lang w:val="en-US" w:eastAsia="zh-CN"/>
        </w:rPr>
        <w:t xml:space="preserve"> 023-51523769</w:t>
      </w:r>
    </w:p>
    <w:p>
      <w:pPr>
        <w:rPr>
          <w:rFonts w:cs="宋体"/>
          <w:sz w:val="21"/>
          <w:szCs w:val="21"/>
        </w:rPr>
      </w:pPr>
    </w:p>
    <w:tbl>
      <w:tblPr>
        <w:tblStyle w:val="9"/>
        <w:tblW w:w="14603" w:type="dxa"/>
        <w:tblInd w:w="0" w:type="dxa"/>
        <w:tblLayout w:type="fixed"/>
        <w:tblCellMar>
          <w:top w:w="0" w:type="dxa"/>
          <w:left w:w="0" w:type="dxa"/>
          <w:bottom w:w="0" w:type="dxa"/>
          <w:right w:w="0" w:type="dxa"/>
        </w:tblCellMar>
      </w:tblPr>
      <w:tblGrid>
        <w:gridCol w:w="5122"/>
        <w:gridCol w:w="2020"/>
        <w:gridCol w:w="4809"/>
        <w:gridCol w:w="2652"/>
      </w:tblGrid>
      <w:tr>
        <w:tblPrEx>
          <w:tblCellMar>
            <w:top w:w="0" w:type="dxa"/>
            <w:left w:w="0" w:type="dxa"/>
            <w:bottom w:w="0" w:type="dxa"/>
            <w:right w:w="0" w:type="dxa"/>
          </w:tblCellMar>
        </w:tblPrEx>
        <w:trPr>
          <w:trHeight w:val="238" w:hRule="atLeast"/>
        </w:trPr>
        <w:tc>
          <w:tcPr>
            <w:tcW w:w="1460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43"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6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公开01表</w:t>
            </w:r>
          </w:p>
        </w:tc>
      </w:tr>
      <w:tr>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w:t>
            </w:r>
            <w:r>
              <w:rPr>
                <w:rFonts w:hint="eastAsia" w:cs="宋体"/>
                <w:sz w:val="20"/>
                <w:szCs w:val="20"/>
                <w:lang w:val="en-US" w:eastAsia="zh-CN"/>
              </w:rPr>
              <w:t>部门</w:t>
            </w:r>
            <w:r>
              <w:rPr>
                <w:rFonts w:cs="宋体"/>
                <w:sz w:val="20"/>
                <w:szCs w:val="20"/>
              </w:rPr>
              <w:t>：</w:t>
            </w:r>
            <w:r>
              <w:rPr>
                <w:sz w:val="20"/>
              </w:rPr>
              <w:t>重庆市巫溪县融媒体中心</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6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收入</w:t>
            </w:r>
          </w:p>
        </w:tc>
        <w:tc>
          <w:tcPr>
            <w:tcW w:w="746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功能分类科目</w:t>
            </w:r>
          </w:p>
        </w:tc>
        <w:tc>
          <w:tcPr>
            <w:tcW w:w="265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1,489.51</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一、一般公共服务支出</w:t>
            </w:r>
          </w:p>
        </w:tc>
        <w:tc>
          <w:tcPr>
            <w:tcW w:w="2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二、外交支出</w:t>
            </w:r>
          </w:p>
        </w:tc>
        <w:tc>
          <w:tcPr>
            <w:tcW w:w="2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三、国防支出</w:t>
            </w:r>
          </w:p>
        </w:tc>
        <w:tc>
          <w:tcPr>
            <w:tcW w:w="2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四、公共安全支出</w:t>
            </w:r>
          </w:p>
        </w:tc>
        <w:tc>
          <w:tcPr>
            <w:tcW w:w="2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五、教育支出</w:t>
            </w:r>
          </w:p>
        </w:tc>
        <w:tc>
          <w:tcPr>
            <w:tcW w:w="2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六、科学技术支出</w:t>
            </w:r>
          </w:p>
        </w:tc>
        <w:tc>
          <w:tcPr>
            <w:tcW w:w="2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七、文化旅游体育与传媒支出</w:t>
            </w:r>
          </w:p>
        </w:tc>
        <w:tc>
          <w:tcPr>
            <w:tcW w:w="2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1,251.55</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八、社会保障和就业支出</w:t>
            </w:r>
          </w:p>
        </w:tc>
        <w:tc>
          <w:tcPr>
            <w:tcW w:w="2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155.04</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九、卫生健康支出</w:t>
            </w:r>
          </w:p>
        </w:tc>
        <w:tc>
          <w:tcPr>
            <w:tcW w:w="2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37.69</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十、节能环保支出</w:t>
            </w:r>
          </w:p>
        </w:tc>
        <w:tc>
          <w:tcPr>
            <w:tcW w:w="2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十一、城乡社区支出</w:t>
            </w:r>
          </w:p>
        </w:tc>
        <w:tc>
          <w:tcPr>
            <w:tcW w:w="2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十二、农林水支出</w:t>
            </w:r>
          </w:p>
        </w:tc>
        <w:tc>
          <w:tcPr>
            <w:tcW w:w="2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十三、交通运输支出</w:t>
            </w:r>
          </w:p>
        </w:tc>
        <w:tc>
          <w:tcPr>
            <w:tcW w:w="2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十四、资源勘探工业信息等支出</w:t>
            </w:r>
          </w:p>
        </w:tc>
        <w:tc>
          <w:tcPr>
            <w:tcW w:w="2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十五、商业服务业等支出</w:t>
            </w:r>
          </w:p>
        </w:tc>
        <w:tc>
          <w:tcPr>
            <w:tcW w:w="2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十六、金融支出</w:t>
            </w:r>
          </w:p>
        </w:tc>
        <w:tc>
          <w:tcPr>
            <w:tcW w:w="2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十七、援助其他地区支出</w:t>
            </w:r>
          </w:p>
        </w:tc>
        <w:tc>
          <w:tcPr>
            <w:tcW w:w="2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十八、自然资源海洋气象等支出</w:t>
            </w:r>
          </w:p>
        </w:tc>
        <w:tc>
          <w:tcPr>
            <w:tcW w:w="2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十九、住房保障支出</w:t>
            </w:r>
          </w:p>
        </w:tc>
        <w:tc>
          <w:tcPr>
            <w:tcW w:w="2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45.23</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二十、粮油物资储备支出</w:t>
            </w:r>
          </w:p>
        </w:tc>
        <w:tc>
          <w:tcPr>
            <w:tcW w:w="2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二十一、国有资本经营预算支出</w:t>
            </w:r>
          </w:p>
        </w:tc>
        <w:tc>
          <w:tcPr>
            <w:tcW w:w="2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二十二、灾害防治及应急管理支出</w:t>
            </w:r>
          </w:p>
        </w:tc>
        <w:tc>
          <w:tcPr>
            <w:tcW w:w="2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二十三、其他支出</w:t>
            </w:r>
          </w:p>
        </w:tc>
        <w:tc>
          <w:tcPr>
            <w:tcW w:w="2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二十四、债务还本支出</w:t>
            </w:r>
          </w:p>
        </w:tc>
        <w:tc>
          <w:tcPr>
            <w:tcW w:w="2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二十五、债务付息支出</w:t>
            </w:r>
          </w:p>
        </w:tc>
        <w:tc>
          <w:tcPr>
            <w:tcW w:w="2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二十六、抗疫特别国债安排的支出</w:t>
            </w:r>
          </w:p>
        </w:tc>
        <w:tc>
          <w:tcPr>
            <w:tcW w:w="2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1,489.51</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本年支出合计</w:t>
            </w:r>
          </w:p>
        </w:tc>
        <w:tc>
          <w:tcPr>
            <w:tcW w:w="2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1,489.51</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结余分配</w:t>
            </w:r>
          </w:p>
        </w:tc>
        <w:tc>
          <w:tcPr>
            <w:tcW w:w="2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cs="宋体"/>
                <w:color w:val="000000"/>
                <w:sz w:val="20"/>
                <w:szCs w:val="20"/>
              </w:rPr>
            </w:pPr>
            <w:r>
              <w:rPr>
                <w:rFonts w:cs="宋体"/>
                <w:color w:val="000000"/>
                <w:sz w:val="20"/>
                <w:szCs w:val="20"/>
              </w:rPr>
              <w:t>年末结转和结余</w:t>
            </w:r>
          </w:p>
        </w:tc>
        <w:tc>
          <w:tcPr>
            <w:tcW w:w="26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1,489.51</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cs="宋体"/>
                <w:b/>
                <w:color w:val="000000"/>
                <w:sz w:val="20"/>
                <w:szCs w:val="20"/>
              </w:rPr>
            </w:pPr>
            <w:r>
              <w:rPr>
                <w:rFonts w:cs="宋体"/>
                <w:b/>
                <w:color w:val="000000"/>
                <w:sz w:val="20"/>
                <w:szCs w:val="20"/>
              </w:rPr>
              <w:t>总计</w:t>
            </w:r>
          </w:p>
        </w:tc>
        <w:tc>
          <w:tcPr>
            <w:tcW w:w="26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cs="宋体"/>
                <w:color w:val="000000"/>
                <w:sz w:val="20"/>
                <w:szCs w:val="20"/>
              </w:rPr>
            </w:pPr>
            <w:r>
              <w:rPr>
                <w:rFonts w:cs="宋体"/>
                <w:color w:val="000000"/>
                <w:sz w:val="20"/>
                <w:szCs w:val="20"/>
              </w:rPr>
              <w:t>1,489.51</w:t>
            </w:r>
            <w:r>
              <w:rPr>
                <w:color w:val="000000"/>
                <w:sz w:val="20"/>
              </w:rPr>
              <w:t xml:space="preserve"> </w:t>
            </w:r>
          </w:p>
        </w:tc>
      </w:tr>
    </w:tbl>
    <w:p>
      <w:pPr>
        <w:spacing w:line="240" w:lineRule="exact"/>
        <w:rPr>
          <w:rFonts w:cs="宋体"/>
          <w:sz w:val="20"/>
          <w:szCs w:val="20"/>
        </w:rPr>
      </w:pPr>
      <w:r>
        <w:rPr>
          <w:rFonts w:cs="宋体"/>
          <w:sz w:val="20"/>
          <w:szCs w:val="20"/>
        </w:rPr>
        <w:t>备注：1.本表反映</w:t>
      </w:r>
      <w:r>
        <w:rPr>
          <w:rFonts w:hint="eastAsia" w:cs="宋体"/>
          <w:sz w:val="20"/>
          <w:szCs w:val="20"/>
          <w:lang w:val="en-US" w:eastAsia="zh-CN"/>
        </w:rPr>
        <w:t>部门</w:t>
      </w:r>
      <w:r>
        <w:rPr>
          <w:rFonts w:cs="宋体"/>
          <w:sz w:val="20"/>
          <w:szCs w:val="20"/>
        </w:rPr>
        <w:t>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4699" w:type="dxa"/>
        <w:tblInd w:w="0" w:type="dxa"/>
        <w:tblLayout w:type="fixed"/>
        <w:tblCellMar>
          <w:top w:w="0" w:type="dxa"/>
          <w:left w:w="0" w:type="dxa"/>
          <w:bottom w:w="0" w:type="dxa"/>
          <w:right w:w="0" w:type="dxa"/>
        </w:tblCellMar>
      </w:tblPr>
      <w:tblGrid>
        <w:gridCol w:w="1702"/>
        <w:gridCol w:w="3401"/>
        <w:gridCol w:w="1276"/>
        <w:gridCol w:w="1276"/>
        <w:gridCol w:w="917"/>
        <w:gridCol w:w="1233"/>
        <w:gridCol w:w="1366"/>
        <w:gridCol w:w="1307"/>
        <w:gridCol w:w="1139"/>
        <w:gridCol w:w="1082"/>
      </w:tblGrid>
      <w:tr>
        <w:tblPrEx>
          <w:tblCellMar>
            <w:top w:w="0" w:type="dxa"/>
            <w:left w:w="0" w:type="dxa"/>
            <w:bottom w:w="0" w:type="dxa"/>
            <w:right w:w="0" w:type="dxa"/>
          </w:tblCellMar>
        </w:tblPrEx>
        <w:trPr>
          <w:trHeight w:val="641" w:hRule="atLeast"/>
        </w:trPr>
        <w:tc>
          <w:tcPr>
            <w:tcW w:w="1469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收入决算表</w:t>
            </w:r>
          </w:p>
        </w:tc>
      </w:tr>
      <w:tr>
        <w:trPr>
          <w:trHeight w:val="328" w:hRule="atLeast"/>
        </w:trPr>
        <w:tc>
          <w:tcPr>
            <w:tcW w:w="6379"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w:t>
            </w:r>
            <w:r>
              <w:rPr>
                <w:rFonts w:hint="eastAsia" w:cs="宋体"/>
                <w:sz w:val="20"/>
                <w:szCs w:val="20"/>
                <w:lang w:val="en-US" w:eastAsia="zh-CN"/>
              </w:rPr>
              <w:t>部门</w:t>
            </w:r>
            <w:r>
              <w:rPr>
                <w:rFonts w:cs="宋体"/>
                <w:sz w:val="20"/>
                <w:szCs w:val="20"/>
              </w:rPr>
              <w:t>：</w:t>
            </w:r>
            <w:r>
              <w:rPr>
                <w:sz w:val="20"/>
              </w:rPr>
              <w:t>重庆市巫溪县融媒体中心</w:t>
            </w:r>
          </w:p>
        </w:tc>
        <w:tc>
          <w:tcPr>
            <w:tcW w:w="1276"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91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139"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08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37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76"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91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139"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08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510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项目</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本年收入合计</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财政拨款收入</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经营收入</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附属单位上缴收入</w:t>
            </w:r>
          </w:p>
        </w:tc>
        <w:tc>
          <w:tcPr>
            <w:tcW w:w="108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40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40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40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340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340" w:hRule="exact"/>
        </w:trPr>
        <w:tc>
          <w:tcPr>
            <w:tcW w:w="510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2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1,489.51</w:t>
            </w:r>
            <w:r>
              <w:rPr>
                <w:b/>
                <w:color w:val="000000"/>
                <w:sz w:val="20"/>
              </w:rPr>
              <w:t xml:space="preserve"> </w:t>
            </w:r>
          </w:p>
        </w:tc>
        <w:tc>
          <w:tcPr>
            <w:tcW w:w="12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1,489.51</w:t>
            </w:r>
            <w:r>
              <w:rPr>
                <w:b/>
                <w:color w:val="000000"/>
                <w:sz w:val="20"/>
              </w:rPr>
              <w:t xml:space="preserve"> </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rPr>
              <w:t xml:space="preserve"> </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rPr>
              <w:t xml:space="preserve"> </w:t>
            </w:r>
          </w:p>
        </w:tc>
        <w:tc>
          <w:tcPr>
            <w:tcW w:w="1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40" w:hRule="exac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207</w:t>
            </w:r>
          </w:p>
        </w:tc>
        <w:tc>
          <w:tcPr>
            <w:tcW w:w="3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文化旅游体育与传媒支出</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1,251.55</w:t>
            </w:r>
            <w:r>
              <w:rPr>
                <w:b/>
                <w:color w:val="000000"/>
                <w:sz w:val="2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1,251.55</w:t>
            </w:r>
            <w:r>
              <w:rPr>
                <w:b/>
                <w:color w:val="000000"/>
                <w:sz w:val="20"/>
              </w:rPr>
              <w:t xml:space="preserve"> </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0" w:hRule="exac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20701</w:t>
            </w:r>
          </w:p>
        </w:tc>
        <w:tc>
          <w:tcPr>
            <w:tcW w:w="3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文化和旅游</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41.00</w:t>
            </w:r>
            <w:r>
              <w:rPr>
                <w:b/>
                <w:color w:val="000000"/>
                <w:sz w:val="2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41.00</w:t>
            </w:r>
            <w:r>
              <w:rPr>
                <w:b/>
                <w:color w:val="000000"/>
                <w:sz w:val="20"/>
              </w:rPr>
              <w:t xml:space="preserve"> </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0" w:hRule="exac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2070199</w:t>
            </w:r>
          </w:p>
        </w:tc>
        <w:tc>
          <w:tcPr>
            <w:tcW w:w="3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其他文化和旅游支出</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41.00</w:t>
            </w:r>
            <w:r>
              <w:rPr>
                <w:color w:val="000000"/>
                <w:sz w:val="2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41.00</w:t>
            </w:r>
            <w:r>
              <w:rPr>
                <w:color w:val="000000"/>
                <w:sz w:val="20"/>
              </w:rPr>
              <w:t xml:space="preserve"> </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0" w:hRule="exac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20708</w:t>
            </w:r>
          </w:p>
        </w:tc>
        <w:tc>
          <w:tcPr>
            <w:tcW w:w="3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广播电视</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1,210.55</w:t>
            </w:r>
            <w:r>
              <w:rPr>
                <w:b/>
                <w:color w:val="000000"/>
                <w:sz w:val="2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1,210.55</w:t>
            </w:r>
            <w:r>
              <w:rPr>
                <w:b/>
                <w:color w:val="000000"/>
                <w:sz w:val="20"/>
              </w:rPr>
              <w:t xml:space="preserve"> </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0" w:hRule="exac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2070808</w:t>
            </w:r>
          </w:p>
        </w:tc>
        <w:tc>
          <w:tcPr>
            <w:tcW w:w="3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广播电视事务</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1,210.55</w:t>
            </w:r>
            <w:r>
              <w:rPr>
                <w:color w:val="000000"/>
                <w:sz w:val="2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1,210.55</w:t>
            </w:r>
            <w:r>
              <w:rPr>
                <w:color w:val="000000"/>
                <w:sz w:val="20"/>
              </w:rPr>
              <w:t xml:space="preserve"> </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0" w:hRule="exac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w:t>
            </w:r>
          </w:p>
        </w:tc>
        <w:tc>
          <w:tcPr>
            <w:tcW w:w="3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社会保障和就业支出</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155.04</w:t>
            </w:r>
            <w:r>
              <w:rPr>
                <w:b/>
                <w:color w:val="000000"/>
                <w:sz w:val="2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155.04</w:t>
            </w:r>
            <w:r>
              <w:rPr>
                <w:b/>
                <w:color w:val="000000"/>
                <w:sz w:val="20"/>
              </w:rPr>
              <w:t xml:space="preserve"> </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0" w:hRule="exac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20805</w:t>
            </w:r>
          </w:p>
        </w:tc>
        <w:tc>
          <w:tcPr>
            <w:tcW w:w="3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行政事业单位养老支出</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146.20</w:t>
            </w:r>
            <w:r>
              <w:rPr>
                <w:b/>
                <w:color w:val="000000"/>
                <w:sz w:val="2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146.20</w:t>
            </w:r>
            <w:r>
              <w:rPr>
                <w:b/>
                <w:color w:val="000000"/>
                <w:sz w:val="20"/>
              </w:rPr>
              <w:t xml:space="preserve"> </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0" w:hRule="exac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2080502</w:t>
            </w:r>
          </w:p>
        </w:tc>
        <w:tc>
          <w:tcPr>
            <w:tcW w:w="3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事业单位离退休</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40.36</w:t>
            </w:r>
            <w:r>
              <w:rPr>
                <w:color w:val="000000"/>
                <w:sz w:val="2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40.36</w:t>
            </w:r>
            <w:r>
              <w:rPr>
                <w:color w:val="000000"/>
                <w:sz w:val="20"/>
              </w:rPr>
              <w:t xml:space="preserve"> </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0" w:hRule="exac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2080505</w:t>
            </w:r>
          </w:p>
        </w:tc>
        <w:tc>
          <w:tcPr>
            <w:tcW w:w="3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机关事业单位基本养老保险缴费支出</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60.31</w:t>
            </w:r>
            <w:r>
              <w:rPr>
                <w:color w:val="000000"/>
                <w:sz w:val="2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60.31</w:t>
            </w:r>
            <w:r>
              <w:rPr>
                <w:color w:val="000000"/>
                <w:sz w:val="20"/>
              </w:rPr>
              <w:t xml:space="preserve"> </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0" w:hRule="exac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2080506</w:t>
            </w:r>
          </w:p>
        </w:tc>
        <w:tc>
          <w:tcPr>
            <w:tcW w:w="3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机关事业单位职业年金缴费支出</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45.54</w:t>
            </w:r>
            <w:r>
              <w:rPr>
                <w:color w:val="000000"/>
                <w:sz w:val="2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45.54</w:t>
            </w:r>
            <w:r>
              <w:rPr>
                <w:color w:val="000000"/>
                <w:sz w:val="20"/>
              </w:rPr>
              <w:t xml:space="preserve"> </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0" w:hRule="exac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20808</w:t>
            </w:r>
          </w:p>
        </w:tc>
        <w:tc>
          <w:tcPr>
            <w:tcW w:w="3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抚恤</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8.84</w:t>
            </w:r>
            <w:r>
              <w:rPr>
                <w:b/>
                <w:color w:val="000000"/>
                <w:sz w:val="2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8.84</w:t>
            </w:r>
            <w:r>
              <w:rPr>
                <w:b/>
                <w:color w:val="000000"/>
                <w:sz w:val="20"/>
              </w:rPr>
              <w:t xml:space="preserve"> </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0" w:hRule="exac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2080801</w:t>
            </w:r>
          </w:p>
        </w:tc>
        <w:tc>
          <w:tcPr>
            <w:tcW w:w="3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死亡抚恤</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8.84</w:t>
            </w:r>
            <w:r>
              <w:rPr>
                <w:color w:val="000000"/>
                <w:sz w:val="2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8.84</w:t>
            </w:r>
            <w:r>
              <w:rPr>
                <w:color w:val="000000"/>
                <w:sz w:val="20"/>
              </w:rPr>
              <w:t xml:space="preserve"> </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0" w:hRule="exac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w:t>
            </w:r>
          </w:p>
        </w:tc>
        <w:tc>
          <w:tcPr>
            <w:tcW w:w="3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卫生健康支出</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37.69</w:t>
            </w:r>
            <w:r>
              <w:rPr>
                <w:b/>
                <w:color w:val="000000"/>
                <w:sz w:val="2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37.69</w:t>
            </w:r>
            <w:r>
              <w:rPr>
                <w:b/>
                <w:color w:val="000000"/>
                <w:sz w:val="20"/>
              </w:rPr>
              <w:t xml:space="preserve"> </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0" w:hRule="exac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21011</w:t>
            </w:r>
          </w:p>
        </w:tc>
        <w:tc>
          <w:tcPr>
            <w:tcW w:w="3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行政事业单位医疗</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37.69</w:t>
            </w:r>
            <w:r>
              <w:rPr>
                <w:b/>
                <w:color w:val="000000"/>
                <w:sz w:val="2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37.69</w:t>
            </w:r>
            <w:r>
              <w:rPr>
                <w:b/>
                <w:color w:val="000000"/>
                <w:sz w:val="20"/>
              </w:rPr>
              <w:t xml:space="preserve"> </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0" w:hRule="exac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2101102</w:t>
            </w:r>
          </w:p>
        </w:tc>
        <w:tc>
          <w:tcPr>
            <w:tcW w:w="3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事业单位医疗</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37.69</w:t>
            </w:r>
            <w:r>
              <w:rPr>
                <w:color w:val="000000"/>
                <w:sz w:val="2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37.69</w:t>
            </w:r>
            <w:r>
              <w:rPr>
                <w:color w:val="000000"/>
                <w:sz w:val="20"/>
              </w:rPr>
              <w:t xml:space="preserve"> </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0" w:hRule="exac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w:t>
            </w:r>
          </w:p>
        </w:tc>
        <w:tc>
          <w:tcPr>
            <w:tcW w:w="3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住房保障支出</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45.23</w:t>
            </w:r>
            <w:r>
              <w:rPr>
                <w:b/>
                <w:color w:val="000000"/>
                <w:sz w:val="2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45.23</w:t>
            </w:r>
            <w:r>
              <w:rPr>
                <w:b/>
                <w:color w:val="000000"/>
                <w:sz w:val="20"/>
              </w:rPr>
              <w:t xml:space="preserve"> </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0" w:hRule="exac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22102</w:t>
            </w:r>
          </w:p>
        </w:tc>
        <w:tc>
          <w:tcPr>
            <w:tcW w:w="3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住房改革支出</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45.23</w:t>
            </w:r>
            <w:r>
              <w:rPr>
                <w:b/>
                <w:color w:val="000000"/>
                <w:sz w:val="2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b/>
                <w:color w:val="000000"/>
                <w:sz w:val="20"/>
                <w:szCs w:val="20"/>
              </w:rPr>
              <w:t>45.23</w:t>
            </w:r>
            <w:r>
              <w:rPr>
                <w:b/>
                <w:color w:val="000000"/>
                <w:sz w:val="20"/>
              </w:rPr>
              <w:t xml:space="preserve"> </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0" w:hRule="exac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2210201</w:t>
            </w:r>
          </w:p>
        </w:tc>
        <w:tc>
          <w:tcPr>
            <w:tcW w:w="3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住房公积金</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45.23</w:t>
            </w:r>
            <w:r>
              <w:rPr>
                <w:color w:val="000000"/>
                <w:sz w:val="2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0"/>
                <w:szCs w:val="20"/>
              </w:rPr>
              <w:t>45.23</w:t>
            </w:r>
            <w:r>
              <w:rPr>
                <w:color w:val="000000"/>
                <w:sz w:val="20"/>
              </w:rPr>
              <w:t xml:space="preserve"> </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color w:val="000000"/>
                <w:sz w:val="20"/>
              </w:rPr>
              <w:t xml:space="preserve"> </w:t>
            </w:r>
          </w:p>
        </w:tc>
      </w:tr>
    </w:tbl>
    <w:p>
      <w:pPr>
        <w:ind w:left="600" w:hanging="600" w:hangingChars="300"/>
        <w:rPr>
          <w:rFonts w:cs="宋体"/>
          <w:sz w:val="20"/>
          <w:szCs w:val="20"/>
        </w:rPr>
      </w:pPr>
      <w:r>
        <w:rPr>
          <w:rFonts w:cs="宋体"/>
          <w:sz w:val="20"/>
          <w:szCs w:val="20"/>
        </w:rPr>
        <w:t>备注：1.本表反映</w:t>
      </w:r>
      <w:r>
        <w:rPr>
          <w:rFonts w:hint="eastAsia" w:cs="宋体"/>
          <w:sz w:val="20"/>
          <w:szCs w:val="20"/>
          <w:lang w:val="en-US" w:eastAsia="zh-CN"/>
        </w:rPr>
        <w:t>部门</w:t>
      </w:r>
      <w:r>
        <w:rPr>
          <w:rFonts w:cs="宋体"/>
          <w:sz w:val="20"/>
          <w:szCs w:val="20"/>
        </w:rPr>
        <w:t>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tbl>
      <w:tblPr>
        <w:tblStyle w:val="9"/>
        <w:tblW w:w="14420" w:type="dxa"/>
        <w:tblInd w:w="0" w:type="dxa"/>
        <w:tblLayout w:type="fixed"/>
        <w:tblCellMar>
          <w:top w:w="0" w:type="dxa"/>
          <w:left w:w="0" w:type="dxa"/>
          <w:bottom w:w="0" w:type="dxa"/>
          <w:right w:w="0" w:type="dxa"/>
        </w:tblCellMar>
      </w:tblPr>
      <w:tblGrid>
        <w:gridCol w:w="1802"/>
        <w:gridCol w:w="3355"/>
        <w:gridCol w:w="1701"/>
        <w:gridCol w:w="1701"/>
        <w:gridCol w:w="1701"/>
        <w:gridCol w:w="1385"/>
        <w:gridCol w:w="1179"/>
        <w:gridCol w:w="1596"/>
      </w:tblGrid>
      <w:tr>
        <w:tblPrEx>
          <w:tblCellMar>
            <w:top w:w="0" w:type="dxa"/>
            <w:left w:w="0" w:type="dxa"/>
            <w:bottom w:w="0" w:type="dxa"/>
            <w:right w:w="0" w:type="dxa"/>
          </w:tblCellMar>
        </w:tblPrEx>
        <w:trPr>
          <w:trHeight w:val="654" w:hRule="atLeast"/>
        </w:trPr>
        <w:tc>
          <w:tcPr>
            <w:tcW w:w="1442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sz w:val="20"/>
                <w:szCs w:val="20"/>
              </w:rPr>
              <w:br w:type="page"/>
            </w: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58"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w:t>
            </w:r>
            <w:r>
              <w:rPr>
                <w:rFonts w:hint="eastAsia" w:cs="宋体"/>
                <w:sz w:val="20"/>
                <w:szCs w:val="20"/>
                <w:lang w:val="en-US" w:eastAsia="zh-CN"/>
              </w:rPr>
              <w:t>部门</w:t>
            </w:r>
            <w:r>
              <w:rPr>
                <w:rFonts w:cs="宋体"/>
                <w:color w:val="000000"/>
                <w:sz w:val="20"/>
                <w:szCs w:val="20"/>
              </w:rPr>
              <w:t xml:space="preserve">： </w:t>
            </w:r>
            <w:r>
              <w:rPr>
                <w:color w:val="000000"/>
                <w:sz w:val="20"/>
              </w:rPr>
              <w:t xml:space="preserve">重庆市巫溪县融媒体中心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385"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179"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59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5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385"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179"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59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cantSplit/>
          <w:trHeight w:val="340" w:hRule="exact"/>
        </w:trPr>
        <w:tc>
          <w:tcPr>
            <w:tcW w:w="5157"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cs="宋体"/>
                <w:b/>
                <w:color w:val="000000"/>
                <w:sz w:val="18"/>
                <w:szCs w:val="18"/>
              </w:rPr>
            </w:pPr>
            <w:r>
              <w:rPr>
                <w:rFonts w:cs="宋体"/>
                <w:b/>
                <w:color w:val="000000"/>
                <w:sz w:val="18"/>
                <w:szCs w:val="18"/>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18"/>
                <w:szCs w:val="18"/>
              </w:rPr>
            </w:pPr>
            <w:r>
              <w:rPr>
                <w:rFonts w:cs="宋体"/>
                <w:b/>
                <w:color w:val="000000"/>
                <w:sz w:val="18"/>
                <w:szCs w:val="18"/>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18"/>
                <w:szCs w:val="18"/>
              </w:rPr>
            </w:pPr>
            <w:r>
              <w:rPr>
                <w:rFonts w:cs="宋体"/>
                <w:b/>
                <w:color w:val="000000"/>
                <w:sz w:val="18"/>
                <w:szCs w:val="18"/>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18"/>
                <w:szCs w:val="18"/>
              </w:rPr>
            </w:pPr>
            <w:r>
              <w:rPr>
                <w:rFonts w:cs="宋体"/>
                <w:b/>
                <w:color w:val="000000"/>
                <w:sz w:val="18"/>
                <w:szCs w:val="18"/>
              </w:rPr>
              <w:t>项目支出</w:t>
            </w:r>
          </w:p>
        </w:tc>
        <w:tc>
          <w:tcPr>
            <w:tcW w:w="13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18"/>
                <w:szCs w:val="18"/>
              </w:rPr>
            </w:pPr>
            <w:r>
              <w:rPr>
                <w:rFonts w:cs="宋体"/>
                <w:b/>
                <w:color w:val="000000"/>
                <w:sz w:val="18"/>
                <w:szCs w:val="18"/>
              </w:rPr>
              <w:t>上缴上级支出</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18"/>
                <w:szCs w:val="18"/>
              </w:rPr>
            </w:pPr>
            <w:r>
              <w:rPr>
                <w:rFonts w:cs="宋体"/>
                <w:b/>
                <w:color w:val="000000"/>
                <w:sz w:val="18"/>
                <w:szCs w:val="18"/>
              </w:rPr>
              <w:t>经营支出</w:t>
            </w:r>
          </w:p>
        </w:tc>
        <w:tc>
          <w:tcPr>
            <w:tcW w:w="159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18"/>
                <w:szCs w:val="18"/>
              </w:rPr>
            </w:pPr>
            <w:r>
              <w:rPr>
                <w:rFonts w:cs="宋体"/>
                <w:b/>
                <w:color w:val="000000"/>
                <w:sz w:val="18"/>
                <w:szCs w:val="18"/>
              </w:rPr>
              <w:t>对附属单位补助支出</w:t>
            </w:r>
          </w:p>
        </w:tc>
      </w:tr>
      <w:tr>
        <w:tblPrEx>
          <w:tblCellMar>
            <w:top w:w="0" w:type="dxa"/>
            <w:left w:w="0" w:type="dxa"/>
            <w:bottom w:w="0" w:type="dxa"/>
            <w:right w:w="0" w:type="dxa"/>
          </w:tblCellMar>
        </w:tblPrEx>
        <w:trPr>
          <w:cantSplit/>
          <w:trHeight w:val="340" w:hRule="exact"/>
        </w:trPr>
        <w:tc>
          <w:tcPr>
            <w:tcW w:w="18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cs="宋体"/>
                <w:b/>
                <w:color w:val="000000"/>
                <w:sz w:val="18"/>
                <w:szCs w:val="18"/>
              </w:rPr>
            </w:pPr>
            <w:r>
              <w:rPr>
                <w:rFonts w:cs="宋体"/>
                <w:b/>
                <w:color w:val="000000"/>
                <w:sz w:val="18"/>
                <w:szCs w:val="18"/>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cs="宋体"/>
                <w:b/>
                <w:color w:val="000000"/>
                <w:sz w:val="18"/>
                <w:szCs w:val="18"/>
              </w:rPr>
            </w:pPr>
            <w:r>
              <w:rPr>
                <w:rFonts w:cs="宋体"/>
                <w:b/>
                <w:color w:val="000000"/>
                <w:sz w:val="18"/>
                <w:szCs w:val="18"/>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18"/>
                <w:szCs w:val="18"/>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18"/>
                <w:szCs w:val="18"/>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18"/>
                <w:szCs w:val="18"/>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18"/>
                <w:szCs w:val="18"/>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18"/>
                <w:szCs w:val="18"/>
              </w:rPr>
            </w:pPr>
          </w:p>
        </w:tc>
        <w:tc>
          <w:tcPr>
            <w:tcW w:w="159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18"/>
                <w:szCs w:val="18"/>
              </w:rPr>
            </w:pPr>
          </w:p>
        </w:tc>
      </w:tr>
      <w:tr>
        <w:trPr>
          <w:cantSplit/>
          <w:trHeight w:val="340" w:hRule="exac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18"/>
                <w:szCs w:val="18"/>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18"/>
                <w:szCs w:val="18"/>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18"/>
                <w:szCs w:val="18"/>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18"/>
                <w:szCs w:val="18"/>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18"/>
                <w:szCs w:val="18"/>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18"/>
                <w:szCs w:val="18"/>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18"/>
                <w:szCs w:val="18"/>
              </w:rPr>
            </w:pPr>
          </w:p>
        </w:tc>
        <w:tc>
          <w:tcPr>
            <w:tcW w:w="159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18"/>
                <w:szCs w:val="18"/>
              </w:rPr>
            </w:pPr>
          </w:p>
        </w:tc>
      </w:tr>
      <w:tr>
        <w:tblPrEx>
          <w:tblCellMar>
            <w:top w:w="0" w:type="dxa"/>
            <w:left w:w="0" w:type="dxa"/>
            <w:bottom w:w="0" w:type="dxa"/>
            <w:right w:w="0" w:type="dxa"/>
          </w:tblCellMar>
        </w:tblPrEx>
        <w:trPr>
          <w:cantSplit/>
          <w:trHeight w:val="340" w:hRule="exac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18"/>
                <w:szCs w:val="18"/>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18"/>
                <w:szCs w:val="18"/>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18"/>
                <w:szCs w:val="18"/>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18"/>
                <w:szCs w:val="18"/>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18"/>
                <w:szCs w:val="18"/>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18"/>
                <w:szCs w:val="18"/>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18"/>
                <w:szCs w:val="18"/>
              </w:rPr>
            </w:pPr>
          </w:p>
        </w:tc>
        <w:tc>
          <w:tcPr>
            <w:tcW w:w="159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18"/>
                <w:szCs w:val="18"/>
              </w:rPr>
            </w:pPr>
          </w:p>
        </w:tc>
      </w:tr>
      <w:tr>
        <w:tblPrEx>
          <w:tblCellMar>
            <w:top w:w="0" w:type="dxa"/>
            <w:left w:w="0" w:type="dxa"/>
            <w:bottom w:w="0" w:type="dxa"/>
            <w:right w:w="0" w:type="dxa"/>
          </w:tblCellMar>
        </w:tblPrEx>
        <w:trPr>
          <w:cantSplit/>
          <w:trHeight w:val="340" w:hRule="exac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cs="宋体"/>
                <w:b/>
                <w:color w:val="000000"/>
                <w:sz w:val="18"/>
                <w:szCs w:val="18"/>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cs="宋体"/>
                <w:b/>
                <w:color w:val="000000"/>
                <w:sz w:val="18"/>
                <w:szCs w:val="18"/>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18"/>
                <w:szCs w:val="18"/>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18"/>
                <w:szCs w:val="18"/>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18"/>
                <w:szCs w:val="18"/>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18"/>
                <w:szCs w:val="18"/>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18"/>
                <w:szCs w:val="18"/>
              </w:rPr>
            </w:pPr>
          </w:p>
        </w:tc>
        <w:tc>
          <w:tcPr>
            <w:tcW w:w="159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18"/>
                <w:szCs w:val="18"/>
              </w:rPr>
            </w:pPr>
          </w:p>
        </w:tc>
      </w:tr>
      <w:tr>
        <w:tblPrEx>
          <w:tblCellMar>
            <w:top w:w="0" w:type="dxa"/>
            <w:left w:w="0" w:type="dxa"/>
            <w:bottom w:w="0" w:type="dxa"/>
            <w:right w:w="0" w:type="dxa"/>
          </w:tblCellMar>
        </w:tblPrEx>
        <w:trPr>
          <w:cantSplit/>
          <w:trHeight w:val="340" w:hRule="exact"/>
        </w:trPr>
        <w:tc>
          <w:tcPr>
            <w:tcW w:w="515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cs="宋体"/>
                <w:b/>
                <w:color w:val="000000"/>
                <w:sz w:val="18"/>
                <w:szCs w:val="18"/>
              </w:rPr>
            </w:pPr>
            <w:r>
              <w:rPr>
                <w:rFonts w:cs="宋体"/>
                <w:b/>
                <w:color w:val="000000"/>
                <w:sz w:val="18"/>
                <w:szCs w:val="18"/>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18"/>
                <w:szCs w:val="18"/>
              </w:rPr>
            </w:pPr>
            <w:r>
              <w:rPr>
                <w:rFonts w:cs="宋体"/>
                <w:b/>
                <w:bCs/>
                <w:color w:val="000000"/>
                <w:sz w:val="18"/>
                <w:szCs w:val="18"/>
              </w:rPr>
              <w:t>1,489.51</w:t>
            </w:r>
            <w:r>
              <w:rPr>
                <w:b/>
                <w:color w:val="000000"/>
                <w:sz w:val="18"/>
                <w:szCs w:val="18"/>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18"/>
                <w:szCs w:val="18"/>
              </w:rPr>
            </w:pPr>
            <w:r>
              <w:rPr>
                <w:rFonts w:cs="宋体"/>
                <w:b/>
                <w:bCs/>
                <w:color w:val="000000"/>
                <w:sz w:val="18"/>
                <w:szCs w:val="18"/>
              </w:rPr>
              <w:t>951.68</w:t>
            </w:r>
            <w:r>
              <w:rPr>
                <w:b/>
                <w:color w:val="000000"/>
                <w:sz w:val="18"/>
                <w:szCs w:val="18"/>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18"/>
                <w:szCs w:val="18"/>
              </w:rPr>
            </w:pPr>
            <w:r>
              <w:rPr>
                <w:rFonts w:cs="宋体"/>
                <w:b/>
                <w:bCs/>
                <w:color w:val="000000"/>
                <w:sz w:val="18"/>
                <w:szCs w:val="18"/>
              </w:rPr>
              <w:t>537.84</w:t>
            </w:r>
            <w:r>
              <w:rPr>
                <w:b/>
                <w:color w:val="000000"/>
                <w:sz w:val="18"/>
                <w:szCs w:val="18"/>
              </w:rPr>
              <w:t xml:space="preserve"> </w:t>
            </w:r>
          </w:p>
        </w:tc>
        <w:tc>
          <w:tcPr>
            <w:tcW w:w="1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18"/>
                <w:szCs w:val="18"/>
              </w:rPr>
            </w:pPr>
            <w:r>
              <w:rPr>
                <w:b/>
                <w:color w:val="000000"/>
                <w:sz w:val="18"/>
                <w:szCs w:val="18"/>
              </w:rPr>
              <w:t xml:space="preserve"> </w:t>
            </w:r>
          </w:p>
        </w:tc>
        <w:tc>
          <w:tcPr>
            <w:tcW w:w="11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18"/>
                <w:szCs w:val="18"/>
              </w:rPr>
            </w:pPr>
            <w:r>
              <w:rPr>
                <w:b/>
                <w:color w:val="000000"/>
                <w:sz w:val="18"/>
                <w:szCs w:val="18"/>
              </w:rPr>
              <w:t xml:space="preserve"> </w:t>
            </w:r>
          </w:p>
        </w:tc>
        <w:tc>
          <w:tcPr>
            <w:tcW w:w="15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18"/>
                <w:szCs w:val="18"/>
              </w:rPr>
            </w:pPr>
            <w:r>
              <w:rPr>
                <w:b/>
                <w:color w:val="000000"/>
                <w:sz w:val="18"/>
                <w:szCs w:val="18"/>
              </w:rPr>
              <w:t xml:space="preserve"> </w:t>
            </w:r>
          </w:p>
        </w:tc>
      </w:tr>
      <w:tr>
        <w:tblPrEx>
          <w:tblCellMar>
            <w:top w:w="0" w:type="dxa"/>
            <w:left w:w="0" w:type="dxa"/>
            <w:bottom w:w="0" w:type="dxa"/>
            <w:right w:w="0" w:type="dxa"/>
          </w:tblCellMar>
        </w:tblPrEx>
        <w:trPr>
          <w:cantSplit/>
          <w:trHeight w:val="340" w:hRule="exac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18"/>
                <w:szCs w:val="18"/>
              </w:rPr>
            </w:pPr>
            <w:r>
              <w:rPr>
                <w:rFonts w:cs="宋体"/>
                <w:b/>
                <w:color w:val="000000"/>
                <w:sz w:val="18"/>
                <w:szCs w:val="18"/>
              </w:rPr>
              <w:t>207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18"/>
                <w:szCs w:val="18"/>
              </w:rPr>
            </w:pPr>
            <w:r>
              <w:rPr>
                <w:rFonts w:cs="宋体"/>
                <w:b/>
                <w:color w:val="000000"/>
                <w:sz w:val="18"/>
                <w:szCs w:val="18"/>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18"/>
                <w:szCs w:val="18"/>
              </w:rPr>
              <w:t>1,251.55</w:t>
            </w:r>
            <w:r>
              <w:rPr>
                <w:b/>
                <w:color w:val="000000"/>
                <w:sz w:val="18"/>
                <w:szCs w:val="18"/>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18"/>
                <w:szCs w:val="18"/>
              </w:rPr>
              <w:t>722.55</w:t>
            </w:r>
            <w:r>
              <w:rPr>
                <w:b/>
                <w:color w:val="000000"/>
                <w:sz w:val="18"/>
                <w:szCs w:val="18"/>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18"/>
                <w:szCs w:val="18"/>
              </w:rPr>
              <w:t>529.00</w:t>
            </w:r>
            <w:r>
              <w:rPr>
                <w:b/>
                <w:color w:val="000000"/>
                <w:sz w:val="18"/>
                <w:szCs w:val="18"/>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r>
      <w:tr>
        <w:tblPrEx>
          <w:tblCellMar>
            <w:top w:w="0" w:type="dxa"/>
            <w:left w:w="0" w:type="dxa"/>
            <w:bottom w:w="0" w:type="dxa"/>
            <w:right w:w="0" w:type="dxa"/>
          </w:tblCellMar>
        </w:tblPrEx>
        <w:trPr>
          <w:cantSplit/>
          <w:trHeight w:val="340" w:hRule="exac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18"/>
                <w:szCs w:val="18"/>
              </w:rPr>
            </w:pPr>
            <w:r>
              <w:rPr>
                <w:rFonts w:cs="宋体"/>
                <w:b/>
                <w:color w:val="000000"/>
                <w:sz w:val="18"/>
                <w:szCs w:val="18"/>
              </w:rPr>
              <w:t>20701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18"/>
                <w:szCs w:val="18"/>
              </w:rPr>
            </w:pPr>
            <w:r>
              <w:rPr>
                <w:rFonts w:cs="宋体"/>
                <w:b/>
                <w:color w:val="000000"/>
                <w:sz w:val="18"/>
                <w:szCs w:val="18"/>
              </w:rPr>
              <w:t>文化和旅游</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18"/>
                <w:szCs w:val="18"/>
              </w:rPr>
              <w:t>41.00</w:t>
            </w:r>
            <w:r>
              <w:rPr>
                <w:b/>
                <w:color w:val="000000"/>
                <w:sz w:val="18"/>
                <w:szCs w:val="18"/>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18"/>
                <w:szCs w:val="18"/>
              </w:rPr>
              <w:t>41.00</w:t>
            </w:r>
            <w:r>
              <w:rPr>
                <w:b/>
                <w:color w:val="000000"/>
                <w:sz w:val="18"/>
                <w:szCs w:val="18"/>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r>
      <w:tr>
        <w:tblPrEx>
          <w:tblCellMar>
            <w:top w:w="0" w:type="dxa"/>
            <w:left w:w="0" w:type="dxa"/>
            <w:bottom w:w="0" w:type="dxa"/>
            <w:right w:w="0" w:type="dxa"/>
          </w:tblCellMar>
        </w:tblPrEx>
        <w:trPr>
          <w:cantSplit/>
          <w:trHeight w:val="340" w:hRule="exac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18"/>
                <w:szCs w:val="18"/>
              </w:rPr>
            </w:pPr>
            <w:r>
              <w:rPr>
                <w:rFonts w:cs="宋体"/>
                <w:color w:val="000000"/>
                <w:sz w:val="18"/>
                <w:szCs w:val="18"/>
              </w:rPr>
              <w:t>2070199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18"/>
                <w:szCs w:val="18"/>
              </w:rPr>
            </w:pPr>
            <w:r>
              <w:rPr>
                <w:rFonts w:cs="宋体"/>
                <w:color w:val="000000"/>
                <w:sz w:val="18"/>
                <w:szCs w:val="18"/>
              </w:rPr>
              <w:t>其他文化和旅游支出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18"/>
                <w:szCs w:val="18"/>
              </w:rPr>
              <w:t>41.00</w:t>
            </w:r>
            <w:r>
              <w:rPr>
                <w:color w:val="000000"/>
                <w:sz w:val="18"/>
                <w:szCs w:val="18"/>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18"/>
                <w:szCs w:val="18"/>
              </w:rPr>
              <w:t>41.00</w:t>
            </w:r>
            <w:r>
              <w:rPr>
                <w:color w:val="000000"/>
                <w:sz w:val="18"/>
                <w:szCs w:val="18"/>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r>
      <w:tr>
        <w:tblPrEx>
          <w:tblCellMar>
            <w:top w:w="0" w:type="dxa"/>
            <w:left w:w="0" w:type="dxa"/>
            <w:bottom w:w="0" w:type="dxa"/>
            <w:right w:w="0" w:type="dxa"/>
          </w:tblCellMar>
        </w:tblPrEx>
        <w:trPr>
          <w:cantSplit/>
          <w:trHeight w:val="340" w:hRule="exac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18"/>
                <w:szCs w:val="18"/>
              </w:rPr>
            </w:pPr>
            <w:r>
              <w:rPr>
                <w:rFonts w:cs="宋体"/>
                <w:b/>
                <w:color w:val="000000"/>
                <w:sz w:val="18"/>
                <w:szCs w:val="18"/>
              </w:rPr>
              <w:t>20708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18"/>
                <w:szCs w:val="18"/>
              </w:rPr>
            </w:pPr>
            <w:r>
              <w:rPr>
                <w:rFonts w:cs="宋体"/>
                <w:b/>
                <w:color w:val="000000"/>
                <w:sz w:val="18"/>
                <w:szCs w:val="18"/>
              </w:rPr>
              <w:t>广播电视</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18"/>
                <w:szCs w:val="18"/>
              </w:rPr>
              <w:t>1,210.55</w:t>
            </w:r>
            <w:r>
              <w:rPr>
                <w:b/>
                <w:color w:val="000000"/>
                <w:sz w:val="18"/>
                <w:szCs w:val="18"/>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18"/>
                <w:szCs w:val="18"/>
              </w:rPr>
              <w:t>722.55</w:t>
            </w:r>
            <w:r>
              <w:rPr>
                <w:b/>
                <w:color w:val="000000"/>
                <w:sz w:val="18"/>
                <w:szCs w:val="18"/>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18"/>
                <w:szCs w:val="18"/>
              </w:rPr>
              <w:t>488.00</w:t>
            </w:r>
            <w:r>
              <w:rPr>
                <w:b/>
                <w:color w:val="000000"/>
                <w:sz w:val="18"/>
                <w:szCs w:val="18"/>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r>
      <w:tr>
        <w:tblPrEx>
          <w:tblCellMar>
            <w:top w:w="0" w:type="dxa"/>
            <w:left w:w="0" w:type="dxa"/>
            <w:bottom w:w="0" w:type="dxa"/>
            <w:right w:w="0" w:type="dxa"/>
          </w:tblCellMar>
        </w:tblPrEx>
        <w:trPr>
          <w:cantSplit/>
          <w:trHeight w:val="340" w:hRule="exac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18"/>
                <w:szCs w:val="18"/>
              </w:rPr>
            </w:pPr>
            <w:r>
              <w:rPr>
                <w:rFonts w:cs="宋体"/>
                <w:color w:val="000000"/>
                <w:sz w:val="18"/>
                <w:szCs w:val="18"/>
              </w:rPr>
              <w:t>2070808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18"/>
                <w:szCs w:val="18"/>
              </w:rPr>
            </w:pPr>
            <w:r>
              <w:rPr>
                <w:rFonts w:cs="宋体"/>
                <w:color w:val="000000"/>
                <w:sz w:val="18"/>
                <w:szCs w:val="18"/>
              </w:rPr>
              <w:t>广播电视事务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18"/>
                <w:szCs w:val="18"/>
              </w:rPr>
              <w:t>1,210.55</w:t>
            </w:r>
            <w:r>
              <w:rPr>
                <w:color w:val="000000"/>
                <w:sz w:val="18"/>
                <w:szCs w:val="18"/>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18"/>
                <w:szCs w:val="18"/>
              </w:rPr>
              <w:t>722.55</w:t>
            </w:r>
            <w:r>
              <w:rPr>
                <w:color w:val="000000"/>
                <w:sz w:val="18"/>
                <w:szCs w:val="18"/>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18"/>
                <w:szCs w:val="18"/>
              </w:rPr>
              <w:t>488.00</w:t>
            </w:r>
            <w:r>
              <w:rPr>
                <w:color w:val="000000"/>
                <w:sz w:val="18"/>
                <w:szCs w:val="18"/>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r>
      <w:tr>
        <w:tblPrEx>
          <w:tblCellMar>
            <w:top w:w="0" w:type="dxa"/>
            <w:left w:w="0" w:type="dxa"/>
            <w:bottom w:w="0" w:type="dxa"/>
            <w:right w:w="0" w:type="dxa"/>
          </w:tblCellMar>
        </w:tblPrEx>
        <w:trPr>
          <w:cantSplit/>
          <w:trHeight w:val="340" w:hRule="exac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18"/>
                <w:szCs w:val="18"/>
              </w:rPr>
            </w:pPr>
            <w:r>
              <w:rPr>
                <w:rFonts w:cs="宋体"/>
                <w:b/>
                <w:color w:val="000000"/>
                <w:sz w:val="18"/>
                <w:szCs w:val="18"/>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18"/>
                <w:szCs w:val="18"/>
              </w:rPr>
            </w:pPr>
            <w:r>
              <w:rPr>
                <w:rFonts w:cs="宋体"/>
                <w:b/>
                <w:color w:val="000000"/>
                <w:sz w:val="18"/>
                <w:szCs w:val="18"/>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18"/>
                <w:szCs w:val="18"/>
              </w:rPr>
              <w:t>155.04</w:t>
            </w:r>
            <w:r>
              <w:rPr>
                <w:b/>
                <w:color w:val="000000"/>
                <w:sz w:val="18"/>
                <w:szCs w:val="18"/>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18"/>
                <w:szCs w:val="18"/>
              </w:rPr>
              <w:t>146.20</w:t>
            </w:r>
            <w:r>
              <w:rPr>
                <w:b/>
                <w:color w:val="000000"/>
                <w:sz w:val="18"/>
                <w:szCs w:val="18"/>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18"/>
                <w:szCs w:val="18"/>
              </w:rPr>
              <w:t>8.84</w:t>
            </w:r>
            <w:r>
              <w:rPr>
                <w:b/>
                <w:color w:val="000000"/>
                <w:sz w:val="18"/>
                <w:szCs w:val="18"/>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r>
      <w:tr>
        <w:tblPrEx>
          <w:tblCellMar>
            <w:top w:w="0" w:type="dxa"/>
            <w:left w:w="0" w:type="dxa"/>
            <w:bottom w:w="0" w:type="dxa"/>
            <w:right w:w="0" w:type="dxa"/>
          </w:tblCellMar>
        </w:tblPrEx>
        <w:trPr>
          <w:cantSplit/>
          <w:trHeight w:val="340" w:hRule="exac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18"/>
                <w:szCs w:val="18"/>
              </w:rPr>
            </w:pPr>
            <w:r>
              <w:rPr>
                <w:rFonts w:cs="宋体"/>
                <w:b/>
                <w:color w:val="000000"/>
                <w:sz w:val="18"/>
                <w:szCs w:val="18"/>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18"/>
                <w:szCs w:val="18"/>
              </w:rPr>
            </w:pPr>
            <w:r>
              <w:rPr>
                <w:rFonts w:cs="宋体"/>
                <w:b/>
                <w:color w:val="000000"/>
                <w:sz w:val="18"/>
                <w:szCs w:val="18"/>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18"/>
                <w:szCs w:val="18"/>
              </w:rPr>
              <w:t>146.20</w:t>
            </w:r>
            <w:r>
              <w:rPr>
                <w:b/>
                <w:color w:val="000000"/>
                <w:sz w:val="18"/>
                <w:szCs w:val="18"/>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18"/>
                <w:szCs w:val="18"/>
              </w:rPr>
              <w:t>146.20</w:t>
            </w:r>
            <w:r>
              <w:rPr>
                <w:b/>
                <w:color w:val="000000"/>
                <w:sz w:val="18"/>
                <w:szCs w:val="18"/>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r>
      <w:tr>
        <w:tblPrEx>
          <w:tblCellMar>
            <w:top w:w="0" w:type="dxa"/>
            <w:left w:w="0" w:type="dxa"/>
            <w:bottom w:w="0" w:type="dxa"/>
            <w:right w:w="0" w:type="dxa"/>
          </w:tblCellMar>
        </w:tblPrEx>
        <w:trPr>
          <w:cantSplit/>
          <w:trHeight w:val="340" w:hRule="exac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18"/>
                <w:szCs w:val="18"/>
              </w:rPr>
            </w:pPr>
            <w:r>
              <w:rPr>
                <w:rFonts w:cs="宋体"/>
                <w:color w:val="000000"/>
                <w:sz w:val="18"/>
                <w:szCs w:val="18"/>
              </w:rPr>
              <w:t>2080502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18"/>
                <w:szCs w:val="18"/>
              </w:rPr>
            </w:pPr>
            <w:r>
              <w:rPr>
                <w:rFonts w:cs="宋体"/>
                <w:color w:val="000000"/>
                <w:sz w:val="18"/>
                <w:szCs w:val="18"/>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18"/>
                <w:szCs w:val="18"/>
              </w:rPr>
              <w:t>40.36</w:t>
            </w:r>
            <w:r>
              <w:rPr>
                <w:color w:val="000000"/>
                <w:sz w:val="18"/>
                <w:szCs w:val="18"/>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18"/>
                <w:szCs w:val="18"/>
              </w:rPr>
              <w:t>40.36</w:t>
            </w:r>
            <w:r>
              <w:rPr>
                <w:color w:val="000000"/>
                <w:sz w:val="18"/>
                <w:szCs w:val="18"/>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r>
      <w:tr>
        <w:tblPrEx>
          <w:tblCellMar>
            <w:top w:w="0" w:type="dxa"/>
            <w:left w:w="0" w:type="dxa"/>
            <w:bottom w:w="0" w:type="dxa"/>
            <w:right w:w="0" w:type="dxa"/>
          </w:tblCellMar>
        </w:tblPrEx>
        <w:trPr>
          <w:cantSplit/>
          <w:trHeight w:val="340" w:hRule="exac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18"/>
                <w:szCs w:val="18"/>
              </w:rPr>
            </w:pPr>
            <w:r>
              <w:rPr>
                <w:rFonts w:cs="宋体"/>
                <w:color w:val="000000"/>
                <w:sz w:val="18"/>
                <w:szCs w:val="18"/>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18"/>
                <w:szCs w:val="18"/>
              </w:rPr>
            </w:pPr>
            <w:r>
              <w:rPr>
                <w:rFonts w:cs="宋体"/>
                <w:color w:val="000000"/>
                <w:sz w:val="18"/>
                <w:szCs w:val="18"/>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18"/>
                <w:szCs w:val="18"/>
              </w:rPr>
              <w:t>60.31</w:t>
            </w:r>
            <w:r>
              <w:rPr>
                <w:color w:val="000000"/>
                <w:sz w:val="18"/>
                <w:szCs w:val="18"/>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18"/>
                <w:szCs w:val="18"/>
              </w:rPr>
              <w:t>60.31</w:t>
            </w:r>
            <w:r>
              <w:rPr>
                <w:color w:val="000000"/>
                <w:sz w:val="18"/>
                <w:szCs w:val="18"/>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r>
      <w:tr>
        <w:tblPrEx>
          <w:tblCellMar>
            <w:top w:w="0" w:type="dxa"/>
            <w:left w:w="0" w:type="dxa"/>
            <w:bottom w:w="0" w:type="dxa"/>
            <w:right w:w="0" w:type="dxa"/>
          </w:tblCellMar>
        </w:tblPrEx>
        <w:trPr>
          <w:cantSplit/>
          <w:trHeight w:val="340" w:hRule="exac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18"/>
                <w:szCs w:val="18"/>
              </w:rPr>
            </w:pPr>
            <w:r>
              <w:rPr>
                <w:rFonts w:cs="宋体"/>
                <w:color w:val="000000"/>
                <w:sz w:val="18"/>
                <w:szCs w:val="18"/>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18"/>
                <w:szCs w:val="18"/>
              </w:rPr>
            </w:pPr>
            <w:r>
              <w:rPr>
                <w:rFonts w:cs="宋体"/>
                <w:color w:val="000000"/>
                <w:sz w:val="18"/>
                <w:szCs w:val="18"/>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18"/>
                <w:szCs w:val="18"/>
              </w:rPr>
              <w:t>45.54</w:t>
            </w:r>
            <w:r>
              <w:rPr>
                <w:color w:val="000000"/>
                <w:sz w:val="18"/>
                <w:szCs w:val="18"/>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18"/>
                <w:szCs w:val="18"/>
              </w:rPr>
              <w:t>45.54</w:t>
            </w:r>
            <w:r>
              <w:rPr>
                <w:color w:val="000000"/>
                <w:sz w:val="18"/>
                <w:szCs w:val="18"/>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r>
      <w:tr>
        <w:tblPrEx>
          <w:tblCellMar>
            <w:top w:w="0" w:type="dxa"/>
            <w:left w:w="0" w:type="dxa"/>
            <w:bottom w:w="0" w:type="dxa"/>
            <w:right w:w="0" w:type="dxa"/>
          </w:tblCellMar>
        </w:tblPrEx>
        <w:trPr>
          <w:cantSplit/>
          <w:trHeight w:val="340" w:hRule="exac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18"/>
                <w:szCs w:val="18"/>
              </w:rPr>
            </w:pPr>
            <w:r>
              <w:rPr>
                <w:rFonts w:cs="宋体"/>
                <w:b/>
                <w:color w:val="000000"/>
                <w:sz w:val="18"/>
                <w:szCs w:val="18"/>
              </w:rPr>
              <w:t>20808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18"/>
                <w:szCs w:val="18"/>
              </w:rPr>
            </w:pPr>
            <w:r>
              <w:rPr>
                <w:rFonts w:cs="宋体"/>
                <w:b/>
                <w:color w:val="000000"/>
                <w:sz w:val="18"/>
                <w:szCs w:val="18"/>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18"/>
                <w:szCs w:val="18"/>
              </w:rPr>
              <w:t>8.84</w:t>
            </w:r>
            <w:r>
              <w:rPr>
                <w:b/>
                <w:color w:val="000000"/>
                <w:sz w:val="18"/>
                <w:szCs w:val="18"/>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18"/>
                <w:szCs w:val="18"/>
              </w:rPr>
              <w:t>8.84</w:t>
            </w:r>
            <w:r>
              <w:rPr>
                <w:b/>
                <w:color w:val="000000"/>
                <w:sz w:val="18"/>
                <w:szCs w:val="18"/>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r>
      <w:tr>
        <w:tblPrEx>
          <w:tblCellMar>
            <w:top w:w="0" w:type="dxa"/>
            <w:left w:w="0" w:type="dxa"/>
            <w:bottom w:w="0" w:type="dxa"/>
            <w:right w:w="0" w:type="dxa"/>
          </w:tblCellMar>
        </w:tblPrEx>
        <w:trPr>
          <w:cantSplit/>
          <w:trHeight w:val="340" w:hRule="exac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18"/>
                <w:szCs w:val="18"/>
              </w:rPr>
            </w:pPr>
            <w:r>
              <w:rPr>
                <w:rFonts w:cs="宋体"/>
                <w:color w:val="000000"/>
                <w:sz w:val="18"/>
                <w:szCs w:val="18"/>
              </w:rPr>
              <w:t>2080801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18"/>
                <w:szCs w:val="18"/>
              </w:rPr>
            </w:pPr>
            <w:r>
              <w:rPr>
                <w:rFonts w:cs="宋体"/>
                <w:color w:val="000000"/>
                <w:sz w:val="18"/>
                <w:szCs w:val="18"/>
              </w:rPr>
              <w:t>死亡抚恤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18"/>
                <w:szCs w:val="18"/>
              </w:rPr>
              <w:t>8.84</w:t>
            </w:r>
            <w:r>
              <w:rPr>
                <w:color w:val="000000"/>
                <w:sz w:val="18"/>
                <w:szCs w:val="18"/>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18"/>
                <w:szCs w:val="18"/>
              </w:rPr>
              <w:t>8.84</w:t>
            </w:r>
            <w:r>
              <w:rPr>
                <w:color w:val="000000"/>
                <w:sz w:val="18"/>
                <w:szCs w:val="18"/>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r>
      <w:tr>
        <w:tblPrEx>
          <w:tblCellMar>
            <w:top w:w="0" w:type="dxa"/>
            <w:left w:w="0" w:type="dxa"/>
            <w:bottom w:w="0" w:type="dxa"/>
            <w:right w:w="0" w:type="dxa"/>
          </w:tblCellMar>
        </w:tblPrEx>
        <w:trPr>
          <w:cantSplit/>
          <w:trHeight w:val="340" w:hRule="exac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18"/>
                <w:szCs w:val="18"/>
              </w:rPr>
            </w:pPr>
            <w:r>
              <w:rPr>
                <w:rFonts w:cs="宋体"/>
                <w:b/>
                <w:color w:val="000000"/>
                <w:sz w:val="18"/>
                <w:szCs w:val="18"/>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18"/>
                <w:szCs w:val="18"/>
              </w:rPr>
            </w:pPr>
            <w:r>
              <w:rPr>
                <w:rFonts w:cs="宋体"/>
                <w:b/>
                <w:color w:val="000000"/>
                <w:sz w:val="18"/>
                <w:szCs w:val="18"/>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18"/>
                <w:szCs w:val="18"/>
              </w:rPr>
              <w:t>37.69</w:t>
            </w:r>
            <w:r>
              <w:rPr>
                <w:b/>
                <w:color w:val="000000"/>
                <w:sz w:val="18"/>
                <w:szCs w:val="18"/>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18"/>
                <w:szCs w:val="18"/>
              </w:rPr>
              <w:t>37.69</w:t>
            </w:r>
            <w:r>
              <w:rPr>
                <w:b/>
                <w:color w:val="000000"/>
                <w:sz w:val="18"/>
                <w:szCs w:val="18"/>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r>
      <w:tr>
        <w:tblPrEx>
          <w:tblCellMar>
            <w:top w:w="0" w:type="dxa"/>
            <w:left w:w="0" w:type="dxa"/>
            <w:bottom w:w="0" w:type="dxa"/>
            <w:right w:w="0" w:type="dxa"/>
          </w:tblCellMar>
        </w:tblPrEx>
        <w:trPr>
          <w:cantSplit/>
          <w:trHeight w:val="340" w:hRule="exac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18"/>
                <w:szCs w:val="18"/>
              </w:rPr>
            </w:pPr>
            <w:r>
              <w:rPr>
                <w:rFonts w:cs="宋体"/>
                <w:b/>
                <w:color w:val="000000"/>
                <w:sz w:val="18"/>
                <w:szCs w:val="18"/>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18"/>
                <w:szCs w:val="18"/>
              </w:rPr>
            </w:pPr>
            <w:r>
              <w:rPr>
                <w:rFonts w:cs="宋体"/>
                <w:b/>
                <w:color w:val="000000"/>
                <w:sz w:val="18"/>
                <w:szCs w:val="18"/>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18"/>
                <w:szCs w:val="18"/>
              </w:rPr>
              <w:t>37.69</w:t>
            </w:r>
            <w:r>
              <w:rPr>
                <w:b/>
                <w:color w:val="000000"/>
                <w:sz w:val="18"/>
                <w:szCs w:val="18"/>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18"/>
                <w:szCs w:val="18"/>
              </w:rPr>
              <w:t>37.69</w:t>
            </w:r>
            <w:r>
              <w:rPr>
                <w:b/>
                <w:color w:val="000000"/>
                <w:sz w:val="18"/>
                <w:szCs w:val="18"/>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r>
      <w:tr>
        <w:tblPrEx>
          <w:tblCellMar>
            <w:top w:w="0" w:type="dxa"/>
            <w:left w:w="0" w:type="dxa"/>
            <w:bottom w:w="0" w:type="dxa"/>
            <w:right w:w="0" w:type="dxa"/>
          </w:tblCellMar>
        </w:tblPrEx>
        <w:trPr>
          <w:cantSplit/>
          <w:trHeight w:val="340" w:hRule="exac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18"/>
                <w:szCs w:val="18"/>
              </w:rPr>
            </w:pPr>
            <w:r>
              <w:rPr>
                <w:rFonts w:cs="宋体"/>
                <w:color w:val="000000"/>
                <w:sz w:val="18"/>
                <w:szCs w:val="18"/>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18"/>
                <w:szCs w:val="18"/>
              </w:rPr>
            </w:pPr>
            <w:r>
              <w:rPr>
                <w:rFonts w:cs="宋体"/>
                <w:color w:val="000000"/>
                <w:sz w:val="18"/>
                <w:szCs w:val="18"/>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18"/>
                <w:szCs w:val="18"/>
              </w:rPr>
              <w:t>37.69</w:t>
            </w:r>
            <w:r>
              <w:rPr>
                <w:color w:val="000000"/>
                <w:sz w:val="18"/>
                <w:szCs w:val="18"/>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18"/>
                <w:szCs w:val="18"/>
              </w:rPr>
              <w:t>37.69</w:t>
            </w:r>
            <w:r>
              <w:rPr>
                <w:color w:val="000000"/>
                <w:sz w:val="18"/>
                <w:szCs w:val="18"/>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r>
      <w:tr>
        <w:tblPrEx>
          <w:tblCellMar>
            <w:top w:w="0" w:type="dxa"/>
            <w:left w:w="0" w:type="dxa"/>
            <w:bottom w:w="0" w:type="dxa"/>
            <w:right w:w="0" w:type="dxa"/>
          </w:tblCellMar>
        </w:tblPrEx>
        <w:trPr>
          <w:cantSplit/>
          <w:trHeight w:val="340" w:hRule="exac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18"/>
                <w:szCs w:val="18"/>
              </w:rPr>
            </w:pPr>
            <w:r>
              <w:rPr>
                <w:rFonts w:cs="宋体"/>
                <w:b/>
                <w:color w:val="000000"/>
                <w:sz w:val="18"/>
                <w:szCs w:val="18"/>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18"/>
                <w:szCs w:val="18"/>
              </w:rPr>
            </w:pPr>
            <w:r>
              <w:rPr>
                <w:rFonts w:cs="宋体"/>
                <w:b/>
                <w:color w:val="000000"/>
                <w:sz w:val="18"/>
                <w:szCs w:val="18"/>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18"/>
                <w:szCs w:val="18"/>
              </w:rPr>
              <w:t>45.23</w:t>
            </w:r>
            <w:r>
              <w:rPr>
                <w:b/>
                <w:color w:val="000000"/>
                <w:sz w:val="18"/>
                <w:szCs w:val="18"/>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18"/>
                <w:szCs w:val="18"/>
              </w:rPr>
              <w:t>45.23</w:t>
            </w:r>
            <w:r>
              <w:rPr>
                <w:b/>
                <w:color w:val="000000"/>
                <w:sz w:val="18"/>
                <w:szCs w:val="18"/>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r>
      <w:tr>
        <w:tblPrEx>
          <w:tblCellMar>
            <w:top w:w="0" w:type="dxa"/>
            <w:left w:w="0" w:type="dxa"/>
            <w:bottom w:w="0" w:type="dxa"/>
            <w:right w:w="0" w:type="dxa"/>
          </w:tblCellMar>
        </w:tblPrEx>
        <w:trPr>
          <w:cantSplit/>
          <w:trHeight w:val="340" w:hRule="exac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18"/>
                <w:szCs w:val="18"/>
              </w:rPr>
            </w:pPr>
            <w:r>
              <w:rPr>
                <w:rFonts w:cs="宋体"/>
                <w:b/>
                <w:color w:val="000000"/>
                <w:sz w:val="18"/>
                <w:szCs w:val="18"/>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18"/>
                <w:szCs w:val="18"/>
              </w:rPr>
            </w:pPr>
            <w:r>
              <w:rPr>
                <w:rFonts w:cs="宋体"/>
                <w:b/>
                <w:color w:val="000000"/>
                <w:sz w:val="18"/>
                <w:szCs w:val="18"/>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18"/>
                <w:szCs w:val="18"/>
              </w:rPr>
              <w:t>45.23</w:t>
            </w:r>
            <w:r>
              <w:rPr>
                <w:b/>
                <w:color w:val="000000"/>
                <w:sz w:val="18"/>
                <w:szCs w:val="18"/>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18"/>
                <w:szCs w:val="18"/>
              </w:rPr>
              <w:t>45.23</w:t>
            </w:r>
            <w:r>
              <w:rPr>
                <w:b/>
                <w:color w:val="000000"/>
                <w:sz w:val="18"/>
                <w:szCs w:val="18"/>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r>
      <w:tr>
        <w:tblPrEx>
          <w:tblCellMar>
            <w:top w:w="0" w:type="dxa"/>
            <w:left w:w="0" w:type="dxa"/>
            <w:bottom w:w="0" w:type="dxa"/>
            <w:right w:w="0" w:type="dxa"/>
          </w:tblCellMar>
        </w:tblPrEx>
        <w:trPr>
          <w:cantSplit/>
          <w:trHeight w:val="340" w:hRule="exac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18"/>
                <w:szCs w:val="18"/>
              </w:rPr>
            </w:pPr>
            <w:r>
              <w:rPr>
                <w:rFonts w:cs="宋体"/>
                <w:color w:val="000000"/>
                <w:sz w:val="18"/>
                <w:szCs w:val="18"/>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18"/>
                <w:szCs w:val="18"/>
              </w:rPr>
            </w:pPr>
            <w:r>
              <w:rPr>
                <w:rFonts w:cs="宋体"/>
                <w:color w:val="000000"/>
                <w:sz w:val="18"/>
                <w:szCs w:val="18"/>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18"/>
                <w:szCs w:val="18"/>
              </w:rPr>
              <w:t>45.23</w:t>
            </w:r>
            <w:r>
              <w:rPr>
                <w:color w:val="000000"/>
                <w:sz w:val="18"/>
                <w:szCs w:val="18"/>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18"/>
                <w:szCs w:val="18"/>
              </w:rPr>
              <w:t>45.23</w:t>
            </w:r>
            <w:r>
              <w:rPr>
                <w:color w:val="000000"/>
                <w:sz w:val="18"/>
                <w:szCs w:val="18"/>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color w:val="000000"/>
                <w:sz w:val="18"/>
                <w:szCs w:val="18"/>
              </w:rPr>
              <w:t xml:space="preserve"> </w:t>
            </w:r>
          </w:p>
        </w:tc>
      </w:tr>
    </w:tbl>
    <w:p>
      <w:pPr>
        <w:rPr>
          <w:rFonts w:cs="宋体"/>
          <w:sz w:val="20"/>
          <w:szCs w:val="20"/>
        </w:rPr>
      </w:pPr>
      <w:r>
        <w:rPr>
          <w:rFonts w:cs="宋体"/>
          <w:sz w:val="20"/>
          <w:szCs w:val="20"/>
        </w:rPr>
        <w:t>备注：1.本表反映</w:t>
      </w:r>
      <w:r>
        <w:rPr>
          <w:rFonts w:hint="eastAsia" w:cs="宋体"/>
          <w:sz w:val="20"/>
          <w:szCs w:val="20"/>
          <w:lang w:val="en-US" w:eastAsia="zh-CN"/>
        </w:rPr>
        <w:t>部门</w:t>
      </w:r>
      <w:r>
        <w:rPr>
          <w:rFonts w:cs="宋体"/>
          <w:sz w:val="20"/>
          <w:szCs w:val="20"/>
        </w:rPr>
        <w:t>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4174" w:type="dxa"/>
        <w:tblInd w:w="0" w:type="dxa"/>
        <w:tblLayout w:type="fixed"/>
        <w:tblCellMar>
          <w:top w:w="0" w:type="dxa"/>
          <w:left w:w="0" w:type="dxa"/>
          <w:bottom w:w="0" w:type="dxa"/>
          <w:right w:w="0" w:type="dxa"/>
        </w:tblCellMar>
      </w:tblPr>
      <w:tblGrid>
        <w:gridCol w:w="2979"/>
        <w:gridCol w:w="1526"/>
        <w:gridCol w:w="3191"/>
        <w:gridCol w:w="1700"/>
        <w:gridCol w:w="1700"/>
        <w:gridCol w:w="1700"/>
        <w:gridCol w:w="1378"/>
      </w:tblGrid>
      <w:tr>
        <w:tblPrEx>
          <w:tblCellMar>
            <w:top w:w="0" w:type="dxa"/>
            <w:left w:w="0" w:type="dxa"/>
            <w:bottom w:w="0" w:type="dxa"/>
            <w:right w:w="0" w:type="dxa"/>
          </w:tblCellMar>
        </w:tblPrEx>
        <w:trPr>
          <w:trHeight w:val="90" w:hRule="atLeast"/>
        </w:trPr>
        <w:tc>
          <w:tcPr>
            <w:tcW w:w="14174"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cs="宋体"/>
                <w:b/>
                <w:color w:val="000000"/>
                <w:sz w:val="32"/>
                <w:szCs w:val="32"/>
              </w:rPr>
            </w:pPr>
            <w:r>
              <w:rPr>
                <w:rFonts w:cs="宋体"/>
                <w:sz w:val="21"/>
                <w:szCs w:val="21"/>
              </w:rPr>
              <w:br w:type="page"/>
            </w: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r>
              <w:rPr>
                <w:rFonts w:cs="宋体"/>
                <w:sz w:val="20"/>
                <w:szCs w:val="20"/>
              </w:rPr>
              <w:t>公开</w:t>
            </w:r>
            <w:r>
              <w:rPr>
                <w:rFonts w:hint="eastAsia" w:cs="宋体"/>
                <w:sz w:val="20"/>
                <w:szCs w:val="20"/>
                <w:lang w:val="en-US" w:eastAsia="zh-CN"/>
              </w:rPr>
              <w:t>部门</w:t>
            </w:r>
            <w:r>
              <w:rPr>
                <w:rFonts w:cs="宋体"/>
                <w:color w:val="000000"/>
                <w:sz w:val="20"/>
                <w:szCs w:val="20"/>
              </w:rPr>
              <w:t xml:space="preserve">： </w:t>
            </w:r>
            <w:r>
              <w:rPr>
                <w:color w:val="000000"/>
                <w:sz w:val="20"/>
              </w:rPr>
              <w:t>重庆市巫溪县融媒体中心</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378"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37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收     入</w:t>
            </w:r>
          </w:p>
        </w:tc>
        <w:tc>
          <w:tcPr>
            <w:tcW w:w="9669"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功能分类科目</w:t>
            </w:r>
          </w:p>
        </w:tc>
        <w:tc>
          <w:tcPr>
            <w:tcW w:w="6478"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政府性基金预算财政拨款</w:t>
            </w:r>
          </w:p>
        </w:tc>
        <w:tc>
          <w:tcPr>
            <w:tcW w:w="137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1,489.51</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1,251.55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1,251.55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155.04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155.04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37.69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37.69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45.23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45.23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1,489.51</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1,489.51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1,489.51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1,489.51</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1,489.51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1,489.51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bl>
    <w:p>
      <w:pPr>
        <w:spacing w:line="240" w:lineRule="exact"/>
        <w:rPr>
          <w:rFonts w:cs="宋体"/>
          <w:sz w:val="20"/>
          <w:szCs w:val="20"/>
        </w:rPr>
      </w:pPr>
      <w:r>
        <w:rPr>
          <w:rFonts w:cs="宋体"/>
          <w:sz w:val="20"/>
          <w:szCs w:val="20"/>
        </w:rPr>
        <w:t>备注：1.本表反映</w:t>
      </w:r>
      <w:r>
        <w:rPr>
          <w:rFonts w:hint="eastAsia" w:cs="宋体"/>
          <w:sz w:val="20"/>
          <w:szCs w:val="20"/>
          <w:lang w:val="en-US" w:eastAsia="zh-CN"/>
        </w:rPr>
        <w:t>部门</w:t>
      </w:r>
      <w:r>
        <w:rPr>
          <w:rFonts w:cs="宋体"/>
          <w:sz w:val="20"/>
          <w:szCs w:val="20"/>
        </w:rPr>
        <w:t>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4603" w:type="dxa"/>
        <w:tblInd w:w="0" w:type="dxa"/>
        <w:tblLayout w:type="fixed"/>
        <w:tblCellMar>
          <w:top w:w="0" w:type="dxa"/>
          <w:left w:w="0" w:type="dxa"/>
          <w:bottom w:w="0" w:type="dxa"/>
          <w:right w:w="0" w:type="dxa"/>
        </w:tblCellMar>
      </w:tblPr>
      <w:tblGrid>
        <w:gridCol w:w="604"/>
        <w:gridCol w:w="1251"/>
        <w:gridCol w:w="1487"/>
        <w:gridCol w:w="1376"/>
        <w:gridCol w:w="224"/>
        <w:gridCol w:w="461"/>
        <w:gridCol w:w="151"/>
        <w:gridCol w:w="1095"/>
        <w:gridCol w:w="828"/>
        <w:gridCol w:w="879"/>
        <w:gridCol w:w="366"/>
        <w:gridCol w:w="411"/>
        <w:gridCol w:w="808"/>
        <w:gridCol w:w="122"/>
        <w:gridCol w:w="1707"/>
        <w:gridCol w:w="271"/>
        <w:gridCol w:w="1051"/>
        <w:gridCol w:w="376"/>
        <w:gridCol w:w="1081"/>
        <w:gridCol w:w="54"/>
      </w:tblGrid>
      <w:tr>
        <w:tblPrEx>
          <w:tblCellMar>
            <w:top w:w="0" w:type="dxa"/>
            <w:left w:w="0" w:type="dxa"/>
            <w:bottom w:w="0" w:type="dxa"/>
            <w:right w:w="0" w:type="dxa"/>
          </w:tblCellMar>
        </w:tblPrEx>
        <w:trPr>
          <w:trHeight w:val="510" w:hRule="atLeast"/>
        </w:trPr>
        <w:tc>
          <w:tcPr>
            <w:tcW w:w="14603" w:type="dxa"/>
            <w:gridSpan w:val="2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2" w:type="dxa"/>
            <w:gridSpan w:val="11"/>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w:t>
            </w:r>
            <w:r>
              <w:rPr>
                <w:rFonts w:hint="eastAsia" w:cs="宋体"/>
                <w:sz w:val="20"/>
                <w:szCs w:val="20"/>
                <w:lang w:val="en-US" w:eastAsia="zh-CN"/>
              </w:rPr>
              <w:t>部门</w:t>
            </w:r>
            <w:r>
              <w:rPr>
                <w:rFonts w:cs="宋体"/>
                <w:color w:val="000000"/>
                <w:sz w:val="20"/>
                <w:szCs w:val="20"/>
              </w:rPr>
              <w:t xml:space="preserve">： </w:t>
            </w:r>
            <w:r>
              <w:rPr>
                <w:color w:val="000000"/>
                <w:sz w:val="20"/>
              </w:rPr>
              <w:t>重庆市巫溪县融媒体中心</w:t>
            </w:r>
          </w:p>
        </w:tc>
        <w:tc>
          <w:tcPr>
            <w:tcW w:w="3319" w:type="dxa"/>
            <w:gridSpan w:val="5"/>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2562" w:type="dxa"/>
            <w:gridSpan w:val="4"/>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722" w:type="dxa"/>
            <w:gridSpan w:val="11"/>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319" w:type="dxa"/>
            <w:gridSpan w:val="5"/>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2562" w:type="dxa"/>
            <w:gridSpan w:val="4"/>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403" w:type="dxa"/>
            <w:gridSpan w:val="6"/>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w:t>
            </w:r>
          </w:p>
        </w:tc>
        <w:tc>
          <w:tcPr>
            <w:tcW w:w="9200" w:type="dxa"/>
            <w:gridSpan w:val="14"/>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5"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548" w:type="dxa"/>
            <w:gridSpan w:val="4"/>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3319" w:type="dxa"/>
            <w:gridSpan w:val="5"/>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3319" w:type="dxa"/>
            <w:gridSpan w:val="5"/>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基本支出</w:t>
            </w:r>
          </w:p>
        </w:tc>
        <w:tc>
          <w:tcPr>
            <w:tcW w:w="2562" w:type="dxa"/>
            <w:gridSpan w:val="4"/>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5"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548" w:type="dxa"/>
            <w:gridSpan w:val="4"/>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19" w:type="dxa"/>
            <w:gridSpan w:val="5"/>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19" w:type="dxa"/>
            <w:gridSpan w:val="5"/>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2562" w:type="dxa"/>
            <w:gridSpan w:val="4"/>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615" w:hRule="atLeast"/>
        </w:trPr>
        <w:tc>
          <w:tcPr>
            <w:tcW w:w="1855"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548" w:type="dxa"/>
            <w:gridSpan w:val="4"/>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19" w:type="dxa"/>
            <w:gridSpan w:val="5"/>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319" w:type="dxa"/>
            <w:gridSpan w:val="5"/>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2562" w:type="dxa"/>
            <w:gridSpan w:val="4"/>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308" w:hRule="atLeast"/>
        </w:trPr>
        <w:tc>
          <w:tcPr>
            <w:tcW w:w="5403" w:type="dxa"/>
            <w:gridSpan w:val="6"/>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331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1,489.51</w:t>
            </w:r>
            <w:r>
              <w:rPr>
                <w:b/>
                <w:color w:val="000000"/>
                <w:sz w:val="20"/>
              </w:rPr>
              <w:t xml:space="preserve"> </w:t>
            </w:r>
          </w:p>
        </w:tc>
        <w:tc>
          <w:tcPr>
            <w:tcW w:w="331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951.68</w:t>
            </w:r>
            <w:r>
              <w:rPr>
                <w:b/>
                <w:color w:val="000000"/>
                <w:sz w:val="20"/>
              </w:rPr>
              <w:t xml:space="preserve"> </w:t>
            </w:r>
          </w:p>
        </w:tc>
        <w:tc>
          <w:tcPr>
            <w:tcW w:w="2562"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bCs/>
                <w:color w:val="000000"/>
                <w:sz w:val="20"/>
                <w:szCs w:val="20"/>
              </w:rPr>
              <w:t>537.84</w:t>
            </w:r>
            <w:r>
              <w:rPr>
                <w:b/>
                <w:color w:val="000000"/>
                <w:sz w:val="20"/>
              </w:rPr>
              <w:t xml:space="preserve"> </w:t>
            </w:r>
          </w:p>
        </w:tc>
      </w:tr>
      <w:tr>
        <w:tblPrEx>
          <w:tblCellMar>
            <w:top w:w="0" w:type="dxa"/>
            <w:left w:w="0" w:type="dxa"/>
            <w:bottom w:w="0" w:type="dxa"/>
            <w:right w:w="0" w:type="dxa"/>
          </w:tblCellMar>
        </w:tblPrEx>
        <w:trPr>
          <w:trHeight w:val="308" w:hRule="atLeast"/>
        </w:trPr>
        <w:tc>
          <w:tcPr>
            <w:tcW w:w="18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207</w:t>
            </w:r>
          </w:p>
        </w:tc>
        <w:tc>
          <w:tcPr>
            <w:tcW w:w="3548"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文化旅游体育与传媒支出</w:t>
            </w:r>
          </w:p>
        </w:tc>
        <w:tc>
          <w:tcPr>
            <w:tcW w:w="331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1,251.55</w:t>
            </w:r>
            <w:r>
              <w:rPr>
                <w:b/>
                <w:color w:val="000000"/>
                <w:sz w:val="20"/>
              </w:rPr>
              <w:t xml:space="preserve"> </w:t>
            </w:r>
          </w:p>
        </w:tc>
        <w:tc>
          <w:tcPr>
            <w:tcW w:w="331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722.55</w:t>
            </w:r>
            <w:r>
              <w:rPr>
                <w:b/>
                <w:color w:val="000000"/>
                <w:sz w:val="20"/>
              </w:rPr>
              <w:t xml:space="preserve"> </w:t>
            </w:r>
          </w:p>
        </w:tc>
        <w:tc>
          <w:tcPr>
            <w:tcW w:w="2562"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529.00</w:t>
            </w:r>
            <w:r>
              <w:rPr>
                <w:b/>
                <w:color w:val="000000"/>
                <w:sz w:val="20"/>
              </w:rPr>
              <w:t xml:space="preserve"> </w:t>
            </w:r>
          </w:p>
        </w:tc>
      </w:tr>
      <w:tr>
        <w:tblPrEx>
          <w:tblCellMar>
            <w:top w:w="0" w:type="dxa"/>
            <w:left w:w="0" w:type="dxa"/>
            <w:bottom w:w="0" w:type="dxa"/>
            <w:right w:w="0" w:type="dxa"/>
          </w:tblCellMar>
        </w:tblPrEx>
        <w:trPr>
          <w:trHeight w:val="308" w:hRule="atLeast"/>
        </w:trPr>
        <w:tc>
          <w:tcPr>
            <w:tcW w:w="18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20701</w:t>
            </w:r>
          </w:p>
        </w:tc>
        <w:tc>
          <w:tcPr>
            <w:tcW w:w="3548"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文化和旅游</w:t>
            </w:r>
          </w:p>
        </w:tc>
        <w:tc>
          <w:tcPr>
            <w:tcW w:w="331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41.00</w:t>
            </w:r>
            <w:r>
              <w:rPr>
                <w:b/>
                <w:color w:val="000000"/>
                <w:sz w:val="20"/>
              </w:rPr>
              <w:t xml:space="preserve"> </w:t>
            </w:r>
          </w:p>
        </w:tc>
        <w:tc>
          <w:tcPr>
            <w:tcW w:w="331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rPr>
              <w:t xml:space="preserve"> </w:t>
            </w:r>
          </w:p>
        </w:tc>
        <w:tc>
          <w:tcPr>
            <w:tcW w:w="2562"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41.00</w:t>
            </w:r>
            <w:r>
              <w:rPr>
                <w:b/>
                <w:color w:val="000000"/>
                <w:sz w:val="20"/>
              </w:rPr>
              <w:t xml:space="preserve"> </w:t>
            </w:r>
          </w:p>
        </w:tc>
      </w:tr>
      <w:tr>
        <w:tblPrEx>
          <w:tblCellMar>
            <w:top w:w="0" w:type="dxa"/>
            <w:left w:w="0" w:type="dxa"/>
            <w:bottom w:w="0" w:type="dxa"/>
            <w:right w:w="0" w:type="dxa"/>
          </w:tblCellMar>
        </w:tblPrEx>
        <w:trPr>
          <w:trHeight w:val="308" w:hRule="atLeast"/>
        </w:trPr>
        <w:tc>
          <w:tcPr>
            <w:tcW w:w="18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2070199</w:t>
            </w:r>
          </w:p>
        </w:tc>
        <w:tc>
          <w:tcPr>
            <w:tcW w:w="3548"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其他文化和旅游支出</w:t>
            </w:r>
          </w:p>
        </w:tc>
        <w:tc>
          <w:tcPr>
            <w:tcW w:w="331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41.00</w:t>
            </w:r>
            <w:r>
              <w:rPr>
                <w:color w:val="000000"/>
                <w:sz w:val="20"/>
              </w:rPr>
              <w:t xml:space="preserve"> </w:t>
            </w:r>
          </w:p>
        </w:tc>
        <w:tc>
          <w:tcPr>
            <w:tcW w:w="331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rPr>
              <w:t xml:space="preserve"> </w:t>
            </w:r>
          </w:p>
        </w:tc>
        <w:tc>
          <w:tcPr>
            <w:tcW w:w="2562"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41.00</w:t>
            </w:r>
            <w:r>
              <w:rPr>
                <w:color w:val="000000"/>
                <w:sz w:val="20"/>
              </w:rPr>
              <w:t xml:space="preserve"> </w:t>
            </w:r>
          </w:p>
        </w:tc>
      </w:tr>
      <w:tr>
        <w:tblPrEx>
          <w:tblCellMar>
            <w:top w:w="0" w:type="dxa"/>
            <w:left w:w="0" w:type="dxa"/>
            <w:bottom w:w="0" w:type="dxa"/>
            <w:right w:w="0" w:type="dxa"/>
          </w:tblCellMar>
        </w:tblPrEx>
        <w:trPr>
          <w:trHeight w:val="308" w:hRule="atLeast"/>
        </w:trPr>
        <w:tc>
          <w:tcPr>
            <w:tcW w:w="18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20708</w:t>
            </w:r>
          </w:p>
        </w:tc>
        <w:tc>
          <w:tcPr>
            <w:tcW w:w="3548"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广播电视</w:t>
            </w:r>
          </w:p>
        </w:tc>
        <w:tc>
          <w:tcPr>
            <w:tcW w:w="331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1,210.55</w:t>
            </w:r>
            <w:r>
              <w:rPr>
                <w:b/>
                <w:color w:val="000000"/>
                <w:sz w:val="20"/>
              </w:rPr>
              <w:t xml:space="preserve"> </w:t>
            </w:r>
          </w:p>
        </w:tc>
        <w:tc>
          <w:tcPr>
            <w:tcW w:w="331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722.55</w:t>
            </w:r>
            <w:r>
              <w:rPr>
                <w:b/>
                <w:color w:val="000000"/>
                <w:sz w:val="20"/>
              </w:rPr>
              <w:t xml:space="preserve"> </w:t>
            </w:r>
          </w:p>
        </w:tc>
        <w:tc>
          <w:tcPr>
            <w:tcW w:w="2562"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488.00</w:t>
            </w:r>
            <w:r>
              <w:rPr>
                <w:b/>
                <w:color w:val="000000"/>
                <w:sz w:val="20"/>
              </w:rPr>
              <w:t xml:space="preserve"> </w:t>
            </w:r>
          </w:p>
        </w:tc>
      </w:tr>
      <w:tr>
        <w:tblPrEx>
          <w:tblCellMar>
            <w:top w:w="0" w:type="dxa"/>
            <w:left w:w="0" w:type="dxa"/>
            <w:bottom w:w="0" w:type="dxa"/>
            <w:right w:w="0" w:type="dxa"/>
          </w:tblCellMar>
        </w:tblPrEx>
        <w:trPr>
          <w:trHeight w:val="308" w:hRule="atLeast"/>
        </w:trPr>
        <w:tc>
          <w:tcPr>
            <w:tcW w:w="18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2070808</w:t>
            </w:r>
          </w:p>
        </w:tc>
        <w:tc>
          <w:tcPr>
            <w:tcW w:w="3548"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广播电视事务</w:t>
            </w:r>
          </w:p>
        </w:tc>
        <w:tc>
          <w:tcPr>
            <w:tcW w:w="331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1,210.55</w:t>
            </w:r>
            <w:r>
              <w:rPr>
                <w:color w:val="000000"/>
                <w:sz w:val="20"/>
              </w:rPr>
              <w:t xml:space="preserve"> </w:t>
            </w:r>
          </w:p>
        </w:tc>
        <w:tc>
          <w:tcPr>
            <w:tcW w:w="331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722.55</w:t>
            </w:r>
            <w:r>
              <w:rPr>
                <w:color w:val="000000"/>
                <w:sz w:val="20"/>
              </w:rPr>
              <w:t xml:space="preserve"> </w:t>
            </w:r>
          </w:p>
        </w:tc>
        <w:tc>
          <w:tcPr>
            <w:tcW w:w="2562"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488.00</w:t>
            </w:r>
            <w:r>
              <w:rPr>
                <w:color w:val="000000"/>
                <w:sz w:val="20"/>
              </w:rPr>
              <w:t xml:space="preserve"> </w:t>
            </w:r>
          </w:p>
        </w:tc>
      </w:tr>
      <w:tr>
        <w:tblPrEx>
          <w:tblCellMar>
            <w:top w:w="0" w:type="dxa"/>
            <w:left w:w="0" w:type="dxa"/>
            <w:bottom w:w="0" w:type="dxa"/>
            <w:right w:w="0" w:type="dxa"/>
          </w:tblCellMar>
        </w:tblPrEx>
        <w:trPr>
          <w:trHeight w:val="308" w:hRule="atLeast"/>
        </w:trPr>
        <w:tc>
          <w:tcPr>
            <w:tcW w:w="18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w:t>
            </w:r>
          </w:p>
        </w:tc>
        <w:tc>
          <w:tcPr>
            <w:tcW w:w="3548"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社会保障和就业支出</w:t>
            </w:r>
          </w:p>
        </w:tc>
        <w:tc>
          <w:tcPr>
            <w:tcW w:w="331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155.04</w:t>
            </w:r>
            <w:r>
              <w:rPr>
                <w:b/>
                <w:color w:val="000000"/>
                <w:sz w:val="20"/>
              </w:rPr>
              <w:t xml:space="preserve"> </w:t>
            </w:r>
          </w:p>
        </w:tc>
        <w:tc>
          <w:tcPr>
            <w:tcW w:w="331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146.20</w:t>
            </w:r>
            <w:r>
              <w:rPr>
                <w:b/>
                <w:color w:val="000000"/>
                <w:sz w:val="20"/>
              </w:rPr>
              <w:t xml:space="preserve"> </w:t>
            </w:r>
          </w:p>
        </w:tc>
        <w:tc>
          <w:tcPr>
            <w:tcW w:w="2562"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8.84</w:t>
            </w:r>
            <w:r>
              <w:rPr>
                <w:b/>
                <w:color w:val="000000"/>
                <w:sz w:val="20"/>
              </w:rPr>
              <w:t xml:space="preserve"> </w:t>
            </w:r>
          </w:p>
        </w:tc>
      </w:tr>
      <w:tr>
        <w:tblPrEx>
          <w:tblCellMar>
            <w:top w:w="0" w:type="dxa"/>
            <w:left w:w="0" w:type="dxa"/>
            <w:bottom w:w="0" w:type="dxa"/>
            <w:right w:w="0" w:type="dxa"/>
          </w:tblCellMar>
        </w:tblPrEx>
        <w:trPr>
          <w:trHeight w:val="308" w:hRule="atLeast"/>
        </w:trPr>
        <w:tc>
          <w:tcPr>
            <w:tcW w:w="18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20805</w:t>
            </w:r>
          </w:p>
        </w:tc>
        <w:tc>
          <w:tcPr>
            <w:tcW w:w="3548"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行政事业单位养老支出</w:t>
            </w:r>
          </w:p>
        </w:tc>
        <w:tc>
          <w:tcPr>
            <w:tcW w:w="331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146.20</w:t>
            </w:r>
            <w:r>
              <w:rPr>
                <w:b/>
                <w:color w:val="000000"/>
                <w:sz w:val="20"/>
              </w:rPr>
              <w:t xml:space="preserve"> </w:t>
            </w:r>
          </w:p>
        </w:tc>
        <w:tc>
          <w:tcPr>
            <w:tcW w:w="331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146.20</w:t>
            </w:r>
            <w:r>
              <w:rPr>
                <w:b/>
                <w:color w:val="000000"/>
                <w:sz w:val="20"/>
              </w:rPr>
              <w:t xml:space="preserve"> </w:t>
            </w:r>
          </w:p>
        </w:tc>
        <w:tc>
          <w:tcPr>
            <w:tcW w:w="2562"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2080502</w:t>
            </w:r>
          </w:p>
        </w:tc>
        <w:tc>
          <w:tcPr>
            <w:tcW w:w="3548"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事业单位离退休</w:t>
            </w:r>
          </w:p>
        </w:tc>
        <w:tc>
          <w:tcPr>
            <w:tcW w:w="331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40.36</w:t>
            </w:r>
            <w:r>
              <w:rPr>
                <w:color w:val="000000"/>
                <w:sz w:val="20"/>
              </w:rPr>
              <w:t xml:space="preserve"> </w:t>
            </w:r>
          </w:p>
        </w:tc>
        <w:tc>
          <w:tcPr>
            <w:tcW w:w="331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40.36</w:t>
            </w:r>
            <w:r>
              <w:rPr>
                <w:color w:val="000000"/>
                <w:sz w:val="20"/>
              </w:rPr>
              <w:t xml:space="preserve"> </w:t>
            </w:r>
          </w:p>
        </w:tc>
        <w:tc>
          <w:tcPr>
            <w:tcW w:w="2562"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2080505</w:t>
            </w:r>
          </w:p>
        </w:tc>
        <w:tc>
          <w:tcPr>
            <w:tcW w:w="3548"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机关事业单位基本养老保险缴费支出</w:t>
            </w:r>
          </w:p>
        </w:tc>
        <w:tc>
          <w:tcPr>
            <w:tcW w:w="331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60.31</w:t>
            </w:r>
            <w:r>
              <w:rPr>
                <w:color w:val="000000"/>
                <w:sz w:val="20"/>
              </w:rPr>
              <w:t xml:space="preserve"> </w:t>
            </w:r>
          </w:p>
        </w:tc>
        <w:tc>
          <w:tcPr>
            <w:tcW w:w="331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60.31</w:t>
            </w:r>
            <w:r>
              <w:rPr>
                <w:color w:val="000000"/>
                <w:sz w:val="20"/>
              </w:rPr>
              <w:t xml:space="preserve"> </w:t>
            </w:r>
          </w:p>
        </w:tc>
        <w:tc>
          <w:tcPr>
            <w:tcW w:w="2562"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2080506</w:t>
            </w:r>
          </w:p>
        </w:tc>
        <w:tc>
          <w:tcPr>
            <w:tcW w:w="3548"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机关事业单位职业年金缴费支出</w:t>
            </w:r>
          </w:p>
        </w:tc>
        <w:tc>
          <w:tcPr>
            <w:tcW w:w="331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45.54</w:t>
            </w:r>
            <w:r>
              <w:rPr>
                <w:color w:val="000000"/>
                <w:sz w:val="20"/>
              </w:rPr>
              <w:t xml:space="preserve"> </w:t>
            </w:r>
          </w:p>
        </w:tc>
        <w:tc>
          <w:tcPr>
            <w:tcW w:w="331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45.54</w:t>
            </w:r>
            <w:r>
              <w:rPr>
                <w:color w:val="000000"/>
                <w:sz w:val="20"/>
              </w:rPr>
              <w:t xml:space="preserve"> </w:t>
            </w:r>
          </w:p>
        </w:tc>
        <w:tc>
          <w:tcPr>
            <w:tcW w:w="2562"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20808</w:t>
            </w:r>
          </w:p>
        </w:tc>
        <w:tc>
          <w:tcPr>
            <w:tcW w:w="3548"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抚恤</w:t>
            </w:r>
          </w:p>
        </w:tc>
        <w:tc>
          <w:tcPr>
            <w:tcW w:w="331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8.84</w:t>
            </w:r>
            <w:r>
              <w:rPr>
                <w:b/>
                <w:color w:val="000000"/>
                <w:sz w:val="20"/>
              </w:rPr>
              <w:t xml:space="preserve"> </w:t>
            </w:r>
          </w:p>
        </w:tc>
        <w:tc>
          <w:tcPr>
            <w:tcW w:w="331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rPr>
              <w:t xml:space="preserve"> </w:t>
            </w:r>
          </w:p>
        </w:tc>
        <w:tc>
          <w:tcPr>
            <w:tcW w:w="2562"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8.84</w:t>
            </w:r>
            <w:r>
              <w:rPr>
                <w:b/>
                <w:color w:val="000000"/>
                <w:sz w:val="20"/>
              </w:rPr>
              <w:t xml:space="preserve"> </w:t>
            </w:r>
          </w:p>
        </w:tc>
      </w:tr>
      <w:tr>
        <w:tblPrEx>
          <w:tblCellMar>
            <w:top w:w="0" w:type="dxa"/>
            <w:left w:w="0" w:type="dxa"/>
            <w:bottom w:w="0" w:type="dxa"/>
            <w:right w:w="0" w:type="dxa"/>
          </w:tblCellMar>
        </w:tblPrEx>
        <w:trPr>
          <w:trHeight w:val="308" w:hRule="atLeast"/>
        </w:trPr>
        <w:tc>
          <w:tcPr>
            <w:tcW w:w="18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2080801</w:t>
            </w:r>
          </w:p>
        </w:tc>
        <w:tc>
          <w:tcPr>
            <w:tcW w:w="3548"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死亡抚恤</w:t>
            </w:r>
          </w:p>
        </w:tc>
        <w:tc>
          <w:tcPr>
            <w:tcW w:w="331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8.84</w:t>
            </w:r>
            <w:r>
              <w:rPr>
                <w:color w:val="000000"/>
                <w:sz w:val="20"/>
              </w:rPr>
              <w:t xml:space="preserve"> </w:t>
            </w:r>
          </w:p>
        </w:tc>
        <w:tc>
          <w:tcPr>
            <w:tcW w:w="331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rPr>
              <w:t xml:space="preserve"> </w:t>
            </w:r>
          </w:p>
        </w:tc>
        <w:tc>
          <w:tcPr>
            <w:tcW w:w="2562"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8.84</w:t>
            </w:r>
            <w:r>
              <w:rPr>
                <w:color w:val="000000"/>
                <w:sz w:val="20"/>
              </w:rPr>
              <w:t xml:space="preserve"> </w:t>
            </w:r>
          </w:p>
        </w:tc>
      </w:tr>
      <w:tr>
        <w:tblPrEx>
          <w:tblCellMar>
            <w:top w:w="0" w:type="dxa"/>
            <w:left w:w="0" w:type="dxa"/>
            <w:bottom w:w="0" w:type="dxa"/>
            <w:right w:w="0" w:type="dxa"/>
          </w:tblCellMar>
        </w:tblPrEx>
        <w:trPr>
          <w:trHeight w:val="308" w:hRule="atLeast"/>
        </w:trPr>
        <w:tc>
          <w:tcPr>
            <w:tcW w:w="18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w:t>
            </w:r>
          </w:p>
        </w:tc>
        <w:tc>
          <w:tcPr>
            <w:tcW w:w="3548"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卫生健康支出</w:t>
            </w:r>
          </w:p>
        </w:tc>
        <w:tc>
          <w:tcPr>
            <w:tcW w:w="331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37.69</w:t>
            </w:r>
            <w:r>
              <w:rPr>
                <w:b/>
                <w:color w:val="000000"/>
                <w:sz w:val="20"/>
              </w:rPr>
              <w:t xml:space="preserve"> </w:t>
            </w:r>
          </w:p>
        </w:tc>
        <w:tc>
          <w:tcPr>
            <w:tcW w:w="331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37.69</w:t>
            </w:r>
            <w:r>
              <w:rPr>
                <w:b/>
                <w:color w:val="000000"/>
                <w:sz w:val="20"/>
              </w:rPr>
              <w:t xml:space="preserve"> </w:t>
            </w:r>
          </w:p>
        </w:tc>
        <w:tc>
          <w:tcPr>
            <w:tcW w:w="2562"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21011</w:t>
            </w:r>
          </w:p>
        </w:tc>
        <w:tc>
          <w:tcPr>
            <w:tcW w:w="3548"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行政事业单位医疗</w:t>
            </w:r>
          </w:p>
        </w:tc>
        <w:tc>
          <w:tcPr>
            <w:tcW w:w="331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37.69</w:t>
            </w:r>
            <w:r>
              <w:rPr>
                <w:b/>
                <w:color w:val="000000"/>
                <w:sz w:val="20"/>
              </w:rPr>
              <w:t xml:space="preserve"> </w:t>
            </w:r>
          </w:p>
        </w:tc>
        <w:tc>
          <w:tcPr>
            <w:tcW w:w="331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37.69</w:t>
            </w:r>
            <w:r>
              <w:rPr>
                <w:b/>
                <w:color w:val="000000"/>
                <w:sz w:val="20"/>
              </w:rPr>
              <w:t xml:space="preserve"> </w:t>
            </w:r>
          </w:p>
        </w:tc>
        <w:tc>
          <w:tcPr>
            <w:tcW w:w="2562"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2101102</w:t>
            </w:r>
          </w:p>
        </w:tc>
        <w:tc>
          <w:tcPr>
            <w:tcW w:w="3548"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事业单位医疗</w:t>
            </w:r>
          </w:p>
        </w:tc>
        <w:tc>
          <w:tcPr>
            <w:tcW w:w="331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37.69</w:t>
            </w:r>
            <w:r>
              <w:rPr>
                <w:color w:val="000000"/>
                <w:sz w:val="20"/>
              </w:rPr>
              <w:t xml:space="preserve"> </w:t>
            </w:r>
          </w:p>
        </w:tc>
        <w:tc>
          <w:tcPr>
            <w:tcW w:w="331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37.69</w:t>
            </w:r>
            <w:r>
              <w:rPr>
                <w:color w:val="000000"/>
                <w:sz w:val="20"/>
              </w:rPr>
              <w:t xml:space="preserve"> </w:t>
            </w:r>
          </w:p>
        </w:tc>
        <w:tc>
          <w:tcPr>
            <w:tcW w:w="2562"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w:t>
            </w:r>
          </w:p>
        </w:tc>
        <w:tc>
          <w:tcPr>
            <w:tcW w:w="3548"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住房保障支出</w:t>
            </w:r>
          </w:p>
        </w:tc>
        <w:tc>
          <w:tcPr>
            <w:tcW w:w="331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45.23</w:t>
            </w:r>
            <w:r>
              <w:rPr>
                <w:b/>
                <w:color w:val="000000"/>
                <w:sz w:val="20"/>
              </w:rPr>
              <w:t xml:space="preserve"> </w:t>
            </w:r>
          </w:p>
        </w:tc>
        <w:tc>
          <w:tcPr>
            <w:tcW w:w="331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45.23</w:t>
            </w:r>
            <w:r>
              <w:rPr>
                <w:b/>
                <w:color w:val="000000"/>
                <w:sz w:val="20"/>
              </w:rPr>
              <w:t xml:space="preserve"> </w:t>
            </w:r>
          </w:p>
        </w:tc>
        <w:tc>
          <w:tcPr>
            <w:tcW w:w="2562"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22102</w:t>
            </w:r>
          </w:p>
        </w:tc>
        <w:tc>
          <w:tcPr>
            <w:tcW w:w="3548"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b/>
                <w:color w:val="000000"/>
                <w:sz w:val="20"/>
                <w:szCs w:val="20"/>
              </w:rPr>
              <w:t>住房改革支出</w:t>
            </w:r>
          </w:p>
        </w:tc>
        <w:tc>
          <w:tcPr>
            <w:tcW w:w="331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45.23</w:t>
            </w:r>
            <w:r>
              <w:rPr>
                <w:b/>
                <w:color w:val="000000"/>
                <w:sz w:val="20"/>
              </w:rPr>
              <w:t xml:space="preserve"> </w:t>
            </w:r>
          </w:p>
        </w:tc>
        <w:tc>
          <w:tcPr>
            <w:tcW w:w="331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b/>
                <w:color w:val="000000"/>
                <w:sz w:val="20"/>
                <w:szCs w:val="20"/>
              </w:rPr>
              <w:t>45.23</w:t>
            </w:r>
            <w:r>
              <w:rPr>
                <w:b/>
                <w:color w:val="000000"/>
                <w:sz w:val="20"/>
              </w:rPr>
              <w:t xml:space="preserve"> </w:t>
            </w:r>
          </w:p>
        </w:tc>
        <w:tc>
          <w:tcPr>
            <w:tcW w:w="2562"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2210201</w:t>
            </w:r>
          </w:p>
        </w:tc>
        <w:tc>
          <w:tcPr>
            <w:tcW w:w="3548"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cs="宋体"/>
                <w:color w:val="000000"/>
                <w:sz w:val="20"/>
                <w:szCs w:val="20"/>
              </w:rPr>
            </w:pPr>
            <w:r>
              <w:rPr>
                <w:rFonts w:cs="宋体"/>
                <w:color w:val="000000"/>
                <w:sz w:val="20"/>
                <w:szCs w:val="20"/>
              </w:rPr>
              <w:t>住房公积金</w:t>
            </w:r>
          </w:p>
        </w:tc>
        <w:tc>
          <w:tcPr>
            <w:tcW w:w="331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45.23</w:t>
            </w:r>
            <w:r>
              <w:rPr>
                <w:color w:val="000000"/>
                <w:sz w:val="20"/>
              </w:rPr>
              <w:t xml:space="preserve"> </w:t>
            </w:r>
          </w:p>
        </w:tc>
        <w:tc>
          <w:tcPr>
            <w:tcW w:w="331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rFonts w:cs="宋体"/>
                <w:color w:val="000000"/>
                <w:sz w:val="20"/>
                <w:szCs w:val="20"/>
              </w:rPr>
              <w:t>45.23</w:t>
            </w:r>
            <w:r>
              <w:rPr>
                <w:color w:val="000000"/>
                <w:sz w:val="20"/>
              </w:rPr>
              <w:t xml:space="preserve"> </w:t>
            </w:r>
          </w:p>
        </w:tc>
        <w:tc>
          <w:tcPr>
            <w:tcW w:w="2562"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color w:val="000000"/>
                <w:sz w:val="20"/>
              </w:rPr>
              <w:t xml:space="preserve"> </w:t>
            </w:r>
          </w:p>
        </w:tc>
      </w:tr>
      <w:tr>
        <w:tblPrEx>
          <w:tblCellMar>
            <w:top w:w="0" w:type="dxa"/>
            <w:left w:w="0" w:type="dxa"/>
            <w:bottom w:w="0" w:type="dxa"/>
            <w:right w:w="0" w:type="dxa"/>
          </w:tblCellMar>
        </w:tblPrEx>
        <w:trPr>
          <w:gridAfter w:val="1"/>
          <w:wAfter w:w="54" w:type="dxa"/>
          <w:trHeight w:val="90" w:hRule="atLeast"/>
        </w:trPr>
        <w:tc>
          <w:tcPr>
            <w:tcW w:w="14549" w:type="dxa"/>
            <w:gridSpan w:val="19"/>
            <w:tcBorders>
              <w:top w:val="nil"/>
              <w:left w:val="nil"/>
              <w:bottom w:val="nil"/>
              <w:right w:val="nil"/>
            </w:tcBorders>
            <w:shd w:val="clear" w:color="auto" w:fill="auto"/>
            <w:noWrap/>
            <w:tcMar>
              <w:top w:w="15" w:type="dxa"/>
              <w:left w:w="15" w:type="dxa"/>
              <w:right w:w="15" w:type="dxa"/>
            </w:tcMar>
            <w:vAlign w:val="bottom"/>
          </w:tcPr>
          <w:p>
            <w:pPr>
              <w:spacing w:line="440" w:lineRule="exact"/>
              <w:jc w:val="both"/>
              <w:textAlignment w:val="bottom"/>
              <w:rPr>
                <w:rFonts w:cs="宋体"/>
                <w:b/>
                <w:color w:val="000000"/>
                <w:sz w:val="32"/>
                <w:szCs w:val="32"/>
              </w:rPr>
            </w:pPr>
            <w:r>
              <w:rPr>
                <w:rFonts w:cs="宋体"/>
                <w:sz w:val="20"/>
                <w:szCs w:val="20"/>
              </w:rPr>
              <w:t>备注：1.本表反映</w:t>
            </w:r>
            <w:r>
              <w:rPr>
                <w:rFonts w:hint="eastAsia" w:cs="宋体"/>
                <w:sz w:val="20"/>
                <w:szCs w:val="20"/>
                <w:lang w:val="en-US" w:eastAsia="zh-CN"/>
              </w:rPr>
              <w:t>部门</w:t>
            </w:r>
            <w:r>
              <w:rPr>
                <w:rFonts w:cs="宋体"/>
                <w:sz w:val="20"/>
                <w:szCs w:val="20"/>
              </w:rPr>
              <w:t>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r>
              <w:rPr>
                <w:rFonts w:cs="宋体"/>
                <w:b/>
                <w:color w:val="000000"/>
                <w:sz w:val="32"/>
                <w:szCs w:val="32"/>
              </w:rPr>
              <w:t>一般公共预算财政拨款基本支出决算表</w:t>
            </w:r>
          </w:p>
        </w:tc>
      </w:tr>
      <w:tr>
        <w:tblPrEx>
          <w:tblCellMar>
            <w:top w:w="0" w:type="dxa"/>
            <w:left w:w="0" w:type="dxa"/>
            <w:bottom w:w="0" w:type="dxa"/>
            <w:right w:w="0" w:type="dxa"/>
          </w:tblCellMar>
        </w:tblPrEx>
        <w:trPr>
          <w:gridAfter w:val="1"/>
          <w:wAfter w:w="54" w:type="dxa"/>
          <w:trHeight w:val="90" w:hRule="atLeast"/>
        </w:trPr>
        <w:tc>
          <w:tcPr>
            <w:tcW w:w="5554" w:type="dxa"/>
            <w:gridSpan w:val="7"/>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r>
              <w:rPr>
                <w:rFonts w:cs="宋体"/>
                <w:sz w:val="20"/>
                <w:szCs w:val="20"/>
              </w:rPr>
              <w:t>公开</w:t>
            </w:r>
            <w:r>
              <w:rPr>
                <w:rFonts w:hint="eastAsia" w:cs="宋体"/>
                <w:sz w:val="20"/>
                <w:szCs w:val="20"/>
                <w:lang w:val="en-US" w:eastAsia="zh-CN"/>
              </w:rPr>
              <w:t>部门</w:t>
            </w:r>
            <w:r>
              <w:rPr>
                <w:rFonts w:cs="宋体"/>
                <w:color w:val="000000"/>
                <w:sz w:val="20"/>
                <w:szCs w:val="20"/>
              </w:rPr>
              <w:t xml:space="preserve">： </w:t>
            </w:r>
            <w:r>
              <w:rPr>
                <w:color w:val="000000"/>
                <w:sz w:val="20"/>
              </w:rPr>
              <w:t>重庆市巫溪县融媒体中心</w:t>
            </w:r>
          </w:p>
        </w:tc>
        <w:tc>
          <w:tcPr>
            <w:tcW w:w="1923"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656" w:type="dxa"/>
            <w:gridSpan w:val="3"/>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527" w:type="dxa"/>
            <w:gridSpan w:val="5"/>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08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gridAfter w:val="1"/>
          <w:wAfter w:w="54" w:type="dxa"/>
          <w:trHeight w:val="90" w:hRule="atLeast"/>
        </w:trPr>
        <w:tc>
          <w:tcPr>
            <w:tcW w:w="5554" w:type="dxa"/>
            <w:gridSpan w:val="7"/>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923"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656" w:type="dxa"/>
            <w:gridSpan w:val="3"/>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3527" w:type="dxa"/>
            <w:gridSpan w:val="5"/>
            <w:tcBorders>
              <w:top w:val="nil"/>
              <w:left w:val="nil"/>
              <w:bottom w:val="nil"/>
              <w:right w:val="nil"/>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108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gridAfter w:val="1"/>
          <w:wAfter w:w="54" w:type="dxa"/>
          <w:trHeight w:val="90" w:hRule="atLeast"/>
        </w:trPr>
        <w:tc>
          <w:tcPr>
            <w:tcW w:w="4718" w:type="dxa"/>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人员经费</w:t>
            </w:r>
          </w:p>
        </w:tc>
        <w:tc>
          <w:tcPr>
            <w:tcW w:w="9831" w:type="dxa"/>
            <w:gridSpan w:val="15"/>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gridAfter w:val="1"/>
          <w:wAfter w:w="54" w:type="dxa"/>
          <w:trHeight w:val="312" w:hRule="atLeast"/>
        </w:trPr>
        <w:tc>
          <w:tcPr>
            <w:tcW w:w="60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2738"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金额</w:t>
            </w:r>
          </w:p>
        </w:tc>
        <w:tc>
          <w:tcPr>
            <w:tcW w:w="836"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1923"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656" w:type="dxa"/>
            <w:gridSpan w:val="3"/>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3527" w:type="dxa"/>
            <w:gridSpan w:val="5"/>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08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gridAfter w:val="1"/>
          <w:wAfter w:w="54" w:type="dxa"/>
          <w:trHeight w:val="312" w:hRule="atLeast"/>
        </w:trPr>
        <w:tc>
          <w:tcPr>
            <w:tcW w:w="60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2738"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836"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923"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656" w:type="dxa"/>
            <w:gridSpan w:val="3"/>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3527" w:type="dxa"/>
            <w:gridSpan w:val="5"/>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c>
          <w:tcPr>
            <w:tcW w:w="108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cs="宋体"/>
                <w:b/>
                <w:color w:val="000000"/>
                <w:sz w:val="18"/>
                <w:szCs w:val="18"/>
              </w:rPr>
            </w:pPr>
          </w:p>
        </w:tc>
      </w:tr>
      <w:tr>
        <w:tblPrEx>
          <w:tblCellMar>
            <w:top w:w="0" w:type="dxa"/>
            <w:left w:w="0" w:type="dxa"/>
            <w:bottom w:w="0" w:type="dxa"/>
            <w:right w:w="0" w:type="dxa"/>
          </w:tblCellMar>
        </w:tblPrEx>
        <w:trPr>
          <w:gridAfter w:val="1"/>
          <w:wAfter w:w="54"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w:t>
            </w:r>
          </w:p>
        </w:tc>
        <w:tc>
          <w:tcPr>
            <w:tcW w:w="27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841.68</w:t>
            </w:r>
            <w:r>
              <w:rPr>
                <w:color w:val="000000"/>
                <w:sz w:val="18"/>
              </w:rPr>
              <w:t xml:space="preserve"> </w:t>
            </w:r>
          </w:p>
        </w:tc>
        <w:tc>
          <w:tcPr>
            <w:tcW w:w="836"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w:t>
            </w:r>
          </w:p>
        </w:tc>
        <w:tc>
          <w:tcPr>
            <w:tcW w:w="192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商品和服务支出</w:t>
            </w:r>
          </w:p>
        </w:tc>
        <w:tc>
          <w:tcPr>
            <w:tcW w:w="165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70.79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w:t>
            </w:r>
          </w:p>
        </w:tc>
        <w:tc>
          <w:tcPr>
            <w:tcW w:w="35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资本性支出</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gridAfter w:val="1"/>
          <w:wAfter w:w="54"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30101</w:t>
            </w:r>
          </w:p>
        </w:tc>
        <w:tc>
          <w:tcPr>
            <w:tcW w:w="27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204.46</w:t>
            </w:r>
            <w:r>
              <w:rPr>
                <w:color w:val="000000"/>
                <w:sz w:val="18"/>
              </w:rPr>
              <w:t xml:space="preserve"> </w:t>
            </w:r>
          </w:p>
        </w:tc>
        <w:tc>
          <w:tcPr>
            <w:tcW w:w="836"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30201</w:t>
            </w:r>
          </w:p>
        </w:tc>
        <w:tc>
          <w:tcPr>
            <w:tcW w:w="192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办公费</w:t>
            </w:r>
          </w:p>
        </w:tc>
        <w:tc>
          <w:tcPr>
            <w:tcW w:w="165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8.50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31001</w:t>
            </w:r>
          </w:p>
        </w:tc>
        <w:tc>
          <w:tcPr>
            <w:tcW w:w="35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房屋建筑物购建</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gridAfter w:val="1"/>
          <w:wAfter w:w="54"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30102</w:t>
            </w:r>
          </w:p>
        </w:tc>
        <w:tc>
          <w:tcPr>
            <w:tcW w:w="27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14.59</w:t>
            </w:r>
            <w:r>
              <w:rPr>
                <w:color w:val="000000"/>
                <w:sz w:val="18"/>
              </w:rPr>
              <w:t xml:space="preserve"> </w:t>
            </w:r>
          </w:p>
        </w:tc>
        <w:tc>
          <w:tcPr>
            <w:tcW w:w="836"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30202</w:t>
            </w:r>
          </w:p>
        </w:tc>
        <w:tc>
          <w:tcPr>
            <w:tcW w:w="192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印刷费</w:t>
            </w:r>
          </w:p>
        </w:tc>
        <w:tc>
          <w:tcPr>
            <w:tcW w:w="165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31002</w:t>
            </w:r>
          </w:p>
        </w:tc>
        <w:tc>
          <w:tcPr>
            <w:tcW w:w="35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办公设备购置</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gridAfter w:val="1"/>
          <w:wAfter w:w="54"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30103</w:t>
            </w:r>
          </w:p>
        </w:tc>
        <w:tc>
          <w:tcPr>
            <w:tcW w:w="27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36"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30203</w:t>
            </w:r>
          </w:p>
        </w:tc>
        <w:tc>
          <w:tcPr>
            <w:tcW w:w="192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咨询费</w:t>
            </w:r>
          </w:p>
        </w:tc>
        <w:tc>
          <w:tcPr>
            <w:tcW w:w="165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0.40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31003</w:t>
            </w:r>
          </w:p>
        </w:tc>
        <w:tc>
          <w:tcPr>
            <w:tcW w:w="35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专用设备购置</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gridAfter w:val="1"/>
          <w:wAfter w:w="54"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30106</w:t>
            </w:r>
          </w:p>
        </w:tc>
        <w:tc>
          <w:tcPr>
            <w:tcW w:w="27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36"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30204</w:t>
            </w:r>
          </w:p>
        </w:tc>
        <w:tc>
          <w:tcPr>
            <w:tcW w:w="192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手续费</w:t>
            </w:r>
          </w:p>
        </w:tc>
        <w:tc>
          <w:tcPr>
            <w:tcW w:w="165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0.02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31005</w:t>
            </w:r>
          </w:p>
        </w:tc>
        <w:tc>
          <w:tcPr>
            <w:tcW w:w="35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基础设施建设</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gridAfter w:val="1"/>
          <w:wAfter w:w="54"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30107</w:t>
            </w:r>
          </w:p>
        </w:tc>
        <w:tc>
          <w:tcPr>
            <w:tcW w:w="27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431.88</w:t>
            </w:r>
            <w:r>
              <w:rPr>
                <w:color w:val="000000"/>
                <w:sz w:val="18"/>
              </w:rPr>
              <w:t xml:space="preserve"> </w:t>
            </w:r>
          </w:p>
        </w:tc>
        <w:tc>
          <w:tcPr>
            <w:tcW w:w="836"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30205</w:t>
            </w:r>
          </w:p>
        </w:tc>
        <w:tc>
          <w:tcPr>
            <w:tcW w:w="192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水费</w:t>
            </w:r>
          </w:p>
        </w:tc>
        <w:tc>
          <w:tcPr>
            <w:tcW w:w="165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0.85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31006</w:t>
            </w:r>
          </w:p>
        </w:tc>
        <w:tc>
          <w:tcPr>
            <w:tcW w:w="35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大型修缮</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gridAfter w:val="1"/>
          <w:wAfter w:w="54"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30108</w:t>
            </w:r>
          </w:p>
        </w:tc>
        <w:tc>
          <w:tcPr>
            <w:tcW w:w="27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60.31</w:t>
            </w:r>
            <w:r>
              <w:rPr>
                <w:color w:val="000000"/>
                <w:sz w:val="18"/>
              </w:rPr>
              <w:t xml:space="preserve"> </w:t>
            </w:r>
          </w:p>
        </w:tc>
        <w:tc>
          <w:tcPr>
            <w:tcW w:w="836"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30206</w:t>
            </w:r>
          </w:p>
        </w:tc>
        <w:tc>
          <w:tcPr>
            <w:tcW w:w="192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电费</w:t>
            </w:r>
          </w:p>
        </w:tc>
        <w:tc>
          <w:tcPr>
            <w:tcW w:w="165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17.02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31007</w:t>
            </w:r>
          </w:p>
        </w:tc>
        <w:tc>
          <w:tcPr>
            <w:tcW w:w="35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信息网络及软件购置更新</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gridAfter w:val="1"/>
          <w:wAfter w:w="54"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30109</w:t>
            </w:r>
          </w:p>
        </w:tc>
        <w:tc>
          <w:tcPr>
            <w:tcW w:w="27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45.54</w:t>
            </w:r>
            <w:r>
              <w:rPr>
                <w:color w:val="000000"/>
                <w:sz w:val="18"/>
              </w:rPr>
              <w:t xml:space="preserve"> </w:t>
            </w:r>
          </w:p>
        </w:tc>
        <w:tc>
          <w:tcPr>
            <w:tcW w:w="836"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30207</w:t>
            </w:r>
          </w:p>
        </w:tc>
        <w:tc>
          <w:tcPr>
            <w:tcW w:w="192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邮电费</w:t>
            </w:r>
          </w:p>
        </w:tc>
        <w:tc>
          <w:tcPr>
            <w:tcW w:w="165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7.67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31008</w:t>
            </w:r>
          </w:p>
        </w:tc>
        <w:tc>
          <w:tcPr>
            <w:tcW w:w="35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物资储备</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gridAfter w:val="1"/>
          <w:wAfter w:w="54"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30110</w:t>
            </w:r>
          </w:p>
        </w:tc>
        <w:tc>
          <w:tcPr>
            <w:tcW w:w="27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37.69</w:t>
            </w:r>
            <w:r>
              <w:rPr>
                <w:color w:val="000000"/>
                <w:sz w:val="18"/>
              </w:rPr>
              <w:t xml:space="preserve"> </w:t>
            </w:r>
          </w:p>
        </w:tc>
        <w:tc>
          <w:tcPr>
            <w:tcW w:w="836"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30208</w:t>
            </w:r>
          </w:p>
        </w:tc>
        <w:tc>
          <w:tcPr>
            <w:tcW w:w="192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取暖费</w:t>
            </w:r>
          </w:p>
        </w:tc>
        <w:tc>
          <w:tcPr>
            <w:tcW w:w="165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31009</w:t>
            </w:r>
          </w:p>
        </w:tc>
        <w:tc>
          <w:tcPr>
            <w:tcW w:w="35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土地补偿</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gridAfter w:val="1"/>
          <w:wAfter w:w="54"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30111</w:t>
            </w:r>
          </w:p>
        </w:tc>
        <w:tc>
          <w:tcPr>
            <w:tcW w:w="27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36"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30209</w:t>
            </w:r>
          </w:p>
        </w:tc>
        <w:tc>
          <w:tcPr>
            <w:tcW w:w="192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物业管理费</w:t>
            </w:r>
          </w:p>
        </w:tc>
        <w:tc>
          <w:tcPr>
            <w:tcW w:w="165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31010</w:t>
            </w:r>
          </w:p>
        </w:tc>
        <w:tc>
          <w:tcPr>
            <w:tcW w:w="35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安置补助</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gridAfter w:val="1"/>
          <w:wAfter w:w="54"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30112</w:t>
            </w:r>
          </w:p>
        </w:tc>
        <w:tc>
          <w:tcPr>
            <w:tcW w:w="27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1.98</w:t>
            </w:r>
            <w:r>
              <w:rPr>
                <w:color w:val="000000"/>
                <w:sz w:val="18"/>
              </w:rPr>
              <w:t xml:space="preserve"> </w:t>
            </w:r>
          </w:p>
        </w:tc>
        <w:tc>
          <w:tcPr>
            <w:tcW w:w="836"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30211</w:t>
            </w:r>
          </w:p>
        </w:tc>
        <w:tc>
          <w:tcPr>
            <w:tcW w:w="192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差旅费</w:t>
            </w:r>
          </w:p>
        </w:tc>
        <w:tc>
          <w:tcPr>
            <w:tcW w:w="165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5.33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31011</w:t>
            </w:r>
          </w:p>
        </w:tc>
        <w:tc>
          <w:tcPr>
            <w:tcW w:w="35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地上附着物和青苗补偿</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gridAfter w:val="1"/>
          <w:wAfter w:w="54"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30113</w:t>
            </w:r>
          </w:p>
        </w:tc>
        <w:tc>
          <w:tcPr>
            <w:tcW w:w="27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45.23</w:t>
            </w:r>
            <w:r>
              <w:rPr>
                <w:color w:val="000000"/>
                <w:sz w:val="18"/>
              </w:rPr>
              <w:t xml:space="preserve"> </w:t>
            </w:r>
          </w:p>
        </w:tc>
        <w:tc>
          <w:tcPr>
            <w:tcW w:w="836"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30212</w:t>
            </w:r>
          </w:p>
        </w:tc>
        <w:tc>
          <w:tcPr>
            <w:tcW w:w="192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因公出国（境）费用</w:t>
            </w:r>
          </w:p>
        </w:tc>
        <w:tc>
          <w:tcPr>
            <w:tcW w:w="165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31012</w:t>
            </w:r>
          </w:p>
        </w:tc>
        <w:tc>
          <w:tcPr>
            <w:tcW w:w="35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拆迁补偿</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gridAfter w:val="1"/>
          <w:wAfter w:w="54"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30114</w:t>
            </w:r>
          </w:p>
        </w:tc>
        <w:tc>
          <w:tcPr>
            <w:tcW w:w="27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36"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30213</w:t>
            </w:r>
          </w:p>
        </w:tc>
        <w:tc>
          <w:tcPr>
            <w:tcW w:w="192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维修（护）费</w:t>
            </w:r>
          </w:p>
        </w:tc>
        <w:tc>
          <w:tcPr>
            <w:tcW w:w="165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0.33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31013</w:t>
            </w:r>
          </w:p>
        </w:tc>
        <w:tc>
          <w:tcPr>
            <w:tcW w:w="35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公务用车购置</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gridAfter w:val="1"/>
          <w:wAfter w:w="54"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30199</w:t>
            </w:r>
          </w:p>
        </w:tc>
        <w:tc>
          <w:tcPr>
            <w:tcW w:w="27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36"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30214</w:t>
            </w:r>
          </w:p>
        </w:tc>
        <w:tc>
          <w:tcPr>
            <w:tcW w:w="192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租赁费</w:t>
            </w:r>
          </w:p>
        </w:tc>
        <w:tc>
          <w:tcPr>
            <w:tcW w:w="165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0.79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31019</w:t>
            </w:r>
          </w:p>
        </w:tc>
        <w:tc>
          <w:tcPr>
            <w:tcW w:w="35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其他交通工具购置</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gridAfter w:val="1"/>
          <w:wAfter w:w="54"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w:t>
            </w:r>
          </w:p>
        </w:tc>
        <w:tc>
          <w:tcPr>
            <w:tcW w:w="27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39.20</w:t>
            </w:r>
            <w:r>
              <w:rPr>
                <w:color w:val="000000"/>
                <w:sz w:val="18"/>
              </w:rPr>
              <w:t xml:space="preserve"> </w:t>
            </w:r>
          </w:p>
        </w:tc>
        <w:tc>
          <w:tcPr>
            <w:tcW w:w="836"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30215</w:t>
            </w:r>
          </w:p>
        </w:tc>
        <w:tc>
          <w:tcPr>
            <w:tcW w:w="192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会议费</w:t>
            </w:r>
          </w:p>
        </w:tc>
        <w:tc>
          <w:tcPr>
            <w:tcW w:w="165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31021</w:t>
            </w:r>
          </w:p>
        </w:tc>
        <w:tc>
          <w:tcPr>
            <w:tcW w:w="35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文物和陈列品购置</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gridAfter w:val="1"/>
          <w:wAfter w:w="54"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30301</w:t>
            </w:r>
          </w:p>
        </w:tc>
        <w:tc>
          <w:tcPr>
            <w:tcW w:w="27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36"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30216</w:t>
            </w:r>
          </w:p>
        </w:tc>
        <w:tc>
          <w:tcPr>
            <w:tcW w:w="192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培训费</w:t>
            </w:r>
          </w:p>
        </w:tc>
        <w:tc>
          <w:tcPr>
            <w:tcW w:w="165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2.03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31022</w:t>
            </w:r>
          </w:p>
        </w:tc>
        <w:tc>
          <w:tcPr>
            <w:tcW w:w="35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无形资产购置</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gridAfter w:val="1"/>
          <w:wAfter w:w="54"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30302</w:t>
            </w:r>
          </w:p>
        </w:tc>
        <w:tc>
          <w:tcPr>
            <w:tcW w:w="27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36"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30217</w:t>
            </w:r>
          </w:p>
        </w:tc>
        <w:tc>
          <w:tcPr>
            <w:tcW w:w="192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公务接待费</w:t>
            </w:r>
          </w:p>
        </w:tc>
        <w:tc>
          <w:tcPr>
            <w:tcW w:w="165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3.65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31099</w:t>
            </w:r>
          </w:p>
        </w:tc>
        <w:tc>
          <w:tcPr>
            <w:tcW w:w="35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其他资本性支出</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gridAfter w:val="1"/>
          <w:wAfter w:w="54"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30303</w:t>
            </w:r>
          </w:p>
        </w:tc>
        <w:tc>
          <w:tcPr>
            <w:tcW w:w="27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36"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30218</w:t>
            </w:r>
          </w:p>
        </w:tc>
        <w:tc>
          <w:tcPr>
            <w:tcW w:w="192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专用材料费</w:t>
            </w:r>
          </w:p>
        </w:tc>
        <w:tc>
          <w:tcPr>
            <w:tcW w:w="165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w:t>
            </w:r>
          </w:p>
        </w:tc>
        <w:tc>
          <w:tcPr>
            <w:tcW w:w="35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对企业补助</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gridAfter w:val="1"/>
          <w:wAfter w:w="54"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30304</w:t>
            </w:r>
          </w:p>
        </w:tc>
        <w:tc>
          <w:tcPr>
            <w:tcW w:w="27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36"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30224</w:t>
            </w:r>
          </w:p>
        </w:tc>
        <w:tc>
          <w:tcPr>
            <w:tcW w:w="192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被装购置费</w:t>
            </w:r>
          </w:p>
        </w:tc>
        <w:tc>
          <w:tcPr>
            <w:tcW w:w="165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31201</w:t>
            </w:r>
          </w:p>
        </w:tc>
        <w:tc>
          <w:tcPr>
            <w:tcW w:w="35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资本金注入</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gridAfter w:val="1"/>
          <w:wAfter w:w="54"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30305</w:t>
            </w:r>
          </w:p>
        </w:tc>
        <w:tc>
          <w:tcPr>
            <w:tcW w:w="27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36.20</w:t>
            </w:r>
            <w:r>
              <w:rPr>
                <w:color w:val="000000"/>
                <w:sz w:val="18"/>
              </w:rPr>
              <w:t xml:space="preserve"> </w:t>
            </w:r>
          </w:p>
        </w:tc>
        <w:tc>
          <w:tcPr>
            <w:tcW w:w="836"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30225</w:t>
            </w:r>
          </w:p>
        </w:tc>
        <w:tc>
          <w:tcPr>
            <w:tcW w:w="192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专用燃料费</w:t>
            </w:r>
          </w:p>
        </w:tc>
        <w:tc>
          <w:tcPr>
            <w:tcW w:w="165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31203</w:t>
            </w:r>
          </w:p>
        </w:tc>
        <w:tc>
          <w:tcPr>
            <w:tcW w:w="35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政府投资基金股权投资</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gridAfter w:val="1"/>
          <w:wAfter w:w="54"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30306</w:t>
            </w:r>
          </w:p>
        </w:tc>
        <w:tc>
          <w:tcPr>
            <w:tcW w:w="27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36"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30226</w:t>
            </w:r>
          </w:p>
        </w:tc>
        <w:tc>
          <w:tcPr>
            <w:tcW w:w="192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劳务费</w:t>
            </w:r>
          </w:p>
        </w:tc>
        <w:tc>
          <w:tcPr>
            <w:tcW w:w="165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2.11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31204</w:t>
            </w:r>
          </w:p>
        </w:tc>
        <w:tc>
          <w:tcPr>
            <w:tcW w:w="35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费用补贴</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gridAfter w:val="1"/>
          <w:wAfter w:w="54"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30307</w:t>
            </w:r>
          </w:p>
        </w:tc>
        <w:tc>
          <w:tcPr>
            <w:tcW w:w="27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3.00</w:t>
            </w:r>
            <w:r>
              <w:rPr>
                <w:color w:val="000000"/>
                <w:sz w:val="18"/>
              </w:rPr>
              <w:t xml:space="preserve"> </w:t>
            </w:r>
          </w:p>
        </w:tc>
        <w:tc>
          <w:tcPr>
            <w:tcW w:w="836"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30227</w:t>
            </w:r>
          </w:p>
        </w:tc>
        <w:tc>
          <w:tcPr>
            <w:tcW w:w="192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委托业务费</w:t>
            </w:r>
          </w:p>
        </w:tc>
        <w:tc>
          <w:tcPr>
            <w:tcW w:w="165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31205</w:t>
            </w:r>
          </w:p>
        </w:tc>
        <w:tc>
          <w:tcPr>
            <w:tcW w:w="35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利息补贴</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gridAfter w:val="1"/>
          <w:wAfter w:w="54"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30308</w:t>
            </w:r>
          </w:p>
        </w:tc>
        <w:tc>
          <w:tcPr>
            <w:tcW w:w="27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36"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30228</w:t>
            </w:r>
          </w:p>
        </w:tc>
        <w:tc>
          <w:tcPr>
            <w:tcW w:w="192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工会经费</w:t>
            </w:r>
          </w:p>
        </w:tc>
        <w:tc>
          <w:tcPr>
            <w:tcW w:w="165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2.30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31299</w:t>
            </w:r>
          </w:p>
        </w:tc>
        <w:tc>
          <w:tcPr>
            <w:tcW w:w="35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其他对企业补助</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gridAfter w:val="1"/>
          <w:wAfter w:w="54"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30309</w:t>
            </w:r>
          </w:p>
        </w:tc>
        <w:tc>
          <w:tcPr>
            <w:tcW w:w="27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36"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30229</w:t>
            </w:r>
          </w:p>
        </w:tc>
        <w:tc>
          <w:tcPr>
            <w:tcW w:w="192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福利费</w:t>
            </w:r>
          </w:p>
        </w:tc>
        <w:tc>
          <w:tcPr>
            <w:tcW w:w="165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5.02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w:t>
            </w:r>
          </w:p>
        </w:tc>
        <w:tc>
          <w:tcPr>
            <w:tcW w:w="35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其他支出</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gridAfter w:val="1"/>
          <w:wAfter w:w="54"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30310</w:t>
            </w:r>
          </w:p>
        </w:tc>
        <w:tc>
          <w:tcPr>
            <w:tcW w:w="27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36"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30231</w:t>
            </w:r>
          </w:p>
        </w:tc>
        <w:tc>
          <w:tcPr>
            <w:tcW w:w="192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公务用车运行维护费</w:t>
            </w:r>
          </w:p>
        </w:tc>
        <w:tc>
          <w:tcPr>
            <w:tcW w:w="165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7.42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39907</w:t>
            </w:r>
          </w:p>
        </w:tc>
        <w:tc>
          <w:tcPr>
            <w:tcW w:w="35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国家赔偿费用支出</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gridAfter w:val="1"/>
          <w:wAfter w:w="54"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30311</w:t>
            </w:r>
          </w:p>
        </w:tc>
        <w:tc>
          <w:tcPr>
            <w:tcW w:w="27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36"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30239</w:t>
            </w:r>
          </w:p>
        </w:tc>
        <w:tc>
          <w:tcPr>
            <w:tcW w:w="192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其他交通费用</w:t>
            </w:r>
          </w:p>
        </w:tc>
        <w:tc>
          <w:tcPr>
            <w:tcW w:w="165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2.92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39908</w:t>
            </w:r>
          </w:p>
        </w:tc>
        <w:tc>
          <w:tcPr>
            <w:tcW w:w="35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对民间非营利组织和群众性自治组织补贴</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gridAfter w:val="1"/>
          <w:wAfter w:w="54"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30399</w:t>
            </w:r>
          </w:p>
        </w:tc>
        <w:tc>
          <w:tcPr>
            <w:tcW w:w="27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36"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30240</w:t>
            </w:r>
          </w:p>
        </w:tc>
        <w:tc>
          <w:tcPr>
            <w:tcW w:w="192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税金及附加费用</w:t>
            </w:r>
          </w:p>
        </w:tc>
        <w:tc>
          <w:tcPr>
            <w:tcW w:w="165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39909</w:t>
            </w:r>
          </w:p>
        </w:tc>
        <w:tc>
          <w:tcPr>
            <w:tcW w:w="35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经常性赠与</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gridAfter w:val="1"/>
          <w:wAfter w:w="54"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30299</w:t>
            </w:r>
          </w:p>
        </w:tc>
        <w:tc>
          <w:tcPr>
            <w:tcW w:w="192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其他商品和服务支出</w:t>
            </w:r>
          </w:p>
        </w:tc>
        <w:tc>
          <w:tcPr>
            <w:tcW w:w="165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4.43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39910</w:t>
            </w:r>
          </w:p>
        </w:tc>
        <w:tc>
          <w:tcPr>
            <w:tcW w:w="35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资本性赠与</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gridAfter w:val="1"/>
          <w:wAfter w:w="54"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w:t>
            </w:r>
          </w:p>
        </w:tc>
        <w:tc>
          <w:tcPr>
            <w:tcW w:w="192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债务利息及费用支出</w:t>
            </w:r>
          </w:p>
        </w:tc>
        <w:tc>
          <w:tcPr>
            <w:tcW w:w="165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39999</w:t>
            </w:r>
          </w:p>
        </w:tc>
        <w:tc>
          <w:tcPr>
            <w:tcW w:w="35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其他支出</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r>
      <w:tr>
        <w:tblPrEx>
          <w:tblCellMar>
            <w:top w:w="0" w:type="dxa"/>
            <w:left w:w="0" w:type="dxa"/>
            <w:bottom w:w="0" w:type="dxa"/>
            <w:right w:w="0" w:type="dxa"/>
          </w:tblCellMar>
        </w:tblPrEx>
        <w:trPr>
          <w:gridAfter w:val="1"/>
          <w:wAfter w:w="54"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30701</w:t>
            </w:r>
          </w:p>
        </w:tc>
        <w:tc>
          <w:tcPr>
            <w:tcW w:w="192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国内债务付息</w:t>
            </w:r>
          </w:p>
        </w:tc>
        <w:tc>
          <w:tcPr>
            <w:tcW w:w="165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35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CellMar>
            <w:top w:w="0" w:type="dxa"/>
            <w:left w:w="0" w:type="dxa"/>
            <w:bottom w:w="0" w:type="dxa"/>
            <w:right w:w="0" w:type="dxa"/>
          </w:tblCellMar>
        </w:tblPrEx>
        <w:trPr>
          <w:gridAfter w:val="1"/>
          <w:wAfter w:w="54"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30702</w:t>
            </w:r>
          </w:p>
        </w:tc>
        <w:tc>
          <w:tcPr>
            <w:tcW w:w="192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国外债务付息</w:t>
            </w:r>
          </w:p>
        </w:tc>
        <w:tc>
          <w:tcPr>
            <w:tcW w:w="165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35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CellMar>
            <w:top w:w="0" w:type="dxa"/>
            <w:left w:w="0" w:type="dxa"/>
            <w:bottom w:w="0" w:type="dxa"/>
            <w:right w:w="0" w:type="dxa"/>
          </w:tblCellMar>
        </w:tblPrEx>
        <w:trPr>
          <w:gridAfter w:val="1"/>
          <w:wAfter w:w="54"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30703</w:t>
            </w:r>
          </w:p>
        </w:tc>
        <w:tc>
          <w:tcPr>
            <w:tcW w:w="192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国内债务发行费用</w:t>
            </w:r>
          </w:p>
        </w:tc>
        <w:tc>
          <w:tcPr>
            <w:tcW w:w="165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35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CellMar>
            <w:top w:w="0" w:type="dxa"/>
            <w:left w:w="0" w:type="dxa"/>
            <w:bottom w:w="0" w:type="dxa"/>
            <w:right w:w="0" w:type="dxa"/>
          </w:tblCellMar>
        </w:tblPrEx>
        <w:trPr>
          <w:gridAfter w:val="1"/>
          <w:wAfter w:w="54" w:type="dxa"/>
          <w:trHeight w:val="90" w:hRule="atLeast"/>
        </w:trPr>
        <w:tc>
          <w:tcPr>
            <w:tcW w:w="60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27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cs="宋体"/>
                <w:color w:val="000000"/>
                <w:sz w:val="18"/>
                <w:szCs w:val="18"/>
              </w:rPr>
            </w:pPr>
          </w:p>
        </w:tc>
        <w:tc>
          <w:tcPr>
            <w:tcW w:w="836"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30704</w:t>
            </w:r>
          </w:p>
        </w:tc>
        <w:tc>
          <w:tcPr>
            <w:tcW w:w="192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8"/>
                <w:szCs w:val="18"/>
              </w:rPr>
            </w:pPr>
            <w:r>
              <w:rPr>
                <w:rFonts w:cs="宋体"/>
                <w:color w:val="000000"/>
                <w:sz w:val="18"/>
                <w:szCs w:val="18"/>
              </w:rPr>
              <w:t xml:space="preserve">  国外债务发行费用</w:t>
            </w:r>
          </w:p>
        </w:tc>
        <w:tc>
          <w:tcPr>
            <w:tcW w:w="165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35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cs="宋体"/>
                <w:color w:val="000000"/>
                <w:sz w:val="18"/>
                <w:szCs w:val="18"/>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cs="宋体"/>
                <w:color w:val="000000"/>
                <w:sz w:val="18"/>
                <w:szCs w:val="18"/>
              </w:rPr>
            </w:pPr>
          </w:p>
        </w:tc>
      </w:tr>
      <w:tr>
        <w:tblPrEx>
          <w:tblCellMar>
            <w:top w:w="0" w:type="dxa"/>
            <w:left w:w="0" w:type="dxa"/>
            <w:bottom w:w="0" w:type="dxa"/>
            <w:right w:w="0" w:type="dxa"/>
          </w:tblCellMar>
        </w:tblPrEx>
        <w:trPr>
          <w:gridAfter w:val="1"/>
          <w:wAfter w:w="54" w:type="dxa"/>
          <w:trHeight w:val="90" w:hRule="atLeast"/>
        </w:trPr>
        <w:tc>
          <w:tcPr>
            <w:tcW w:w="3342" w:type="dxa"/>
            <w:gridSpan w:val="3"/>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cs="宋体"/>
                <w:color w:val="000000"/>
                <w:sz w:val="18"/>
                <w:szCs w:val="18"/>
              </w:rPr>
            </w:pPr>
            <w:r>
              <w:rPr>
                <w:rFonts w:cs="宋体"/>
                <w:color w:val="000000"/>
                <w:sz w:val="18"/>
                <w:szCs w:val="18"/>
              </w:rPr>
              <w:t>880.88</w:t>
            </w:r>
            <w:r>
              <w:rPr>
                <w:color w:val="000000"/>
                <w:sz w:val="18"/>
              </w:rPr>
              <w:t xml:space="preserve"> </w:t>
            </w:r>
          </w:p>
        </w:tc>
        <w:tc>
          <w:tcPr>
            <w:tcW w:w="8750" w:type="dxa"/>
            <w:gridSpan w:val="1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8"/>
                <w:szCs w:val="18"/>
              </w:rPr>
            </w:pPr>
            <w:r>
              <w:rPr>
                <w:rFonts w:cs="宋体"/>
                <w:b/>
                <w:color w:val="000000"/>
                <w:sz w:val="18"/>
                <w:szCs w:val="18"/>
              </w:rPr>
              <w:t>公用经费合计</w:t>
            </w:r>
          </w:p>
        </w:tc>
        <w:tc>
          <w:tcPr>
            <w:tcW w:w="10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cs="宋体"/>
                <w:color w:val="000000"/>
                <w:sz w:val="18"/>
                <w:szCs w:val="18"/>
              </w:rPr>
            </w:pPr>
            <w:r>
              <w:rPr>
                <w:rFonts w:cs="宋体"/>
                <w:color w:val="000000"/>
                <w:sz w:val="18"/>
                <w:szCs w:val="18"/>
              </w:rPr>
              <w:t>70.79</w:t>
            </w:r>
            <w:r>
              <w:rPr>
                <w:color w:val="000000"/>
                <w:sz w:val="18"/>
              </w:rPr>
              <w:t xml:space="preserve"> </w:t>
            </w:r>
          </w:p>
        </w:tc>
      </w:tr>
      <w:tr>
        <w:tblPrEx>
          <w:tblCellMar>
            <w:top w:w="0" w:type="dxa"/>
            <w:left w:w="0" w:type="dxa"/>
            <w:bottom w:w="0" w:type="dxa"/>
            <w:right w:w="0" w:type="dxa"/>
          </w:tblCellMar>
        </w:tblPrEx>
        <w:trPr>
          <w:trHeight w:val="644" w:hRule="atLeast"/>
        </w:trPr>
        <w:tc>
          <w:tcPr>
            <w:tcW w:w="14603" w:type="dxa"/>
            <w:gridSpan w:val="20"/>
            <w:tcBorders>
              <w:top w:val="nil"/>
              <w:left w:val="nil"/>
              <w:bottom w:val="nil"/>
              <w:right w:val="nil"/>
            </w:tcBorders>
            <w:shd w:val="clear" w:color="auto" w:fill="auto"/>
            <w:noWrap/>
            <w:tcMar>
              <w:top w:w="15" w:type="dxa"/>
              <w:left w:w="15" w:type="dxa"/>
              <w:right w:w="15" w:type="dxa"/>
            </w:tcMar>
            <w:vAlign w:val="bottom"/>
          </w:tcPr>
          <w:p>
            <w:pPr>
              <w:jc w:val="both"/>
              <w:textAlignment w:val="bottom"/>
              <w:rPr>
                <w:rFonts w:cs="宋体"/>
                <w:b/>
                <w:color w:val="000000"/>
                <w:sz w:val="32"/>
                <w:szCs w:val="32"/>
              </w:rPr>
            </w:pPr>
            <w:r>
              <w:rPr>
                <w:rFonts w:cs="宋体"/>
                <w:sz w:val="20"/>
                <w:szCs w:val="20"/>
              </w:rPr>
              <w:t>备注：1.本表反映</w:t>
            </w:r>
            <w:r>
              <w:rPr>
                <w:rFonts w:hint="eastAsia" w:cs="宋体"/>
                <w:sz w:val="20"/>
                <w:szCs w:val="20"/>
                <w:lang w:val="en-US" w:eastAsia="zh-CN"/>
              </w:rPr>
              <w:t>部门</w:t>
            </w:r>
            <w:r>
              <w:rPr>
                <w:rFonts w:cs="宋体"/>
                <w:sz w:val="20"/>
                <w:szCs w:val="20"/>
              </w:rPr>
              <w:t>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8"/>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w:t>
            </w:r>
            <w:r>
              <w:rPr>
                <w:rFonts w:hint="eastAsia" w:cs="宋体"/>
                <w:sz w:val="20"/>
                <w:szCs w:val="20"/>
                <w:lang w:val="en-US" w:eastAsia="zh-CN"/>
              </w:rPr>
              <w:t>部门</w:t>
            </w:r>
            <w:r>
              <w:rPr>
                <w:rFonts w:cs="宋体"/>
                <w:color w:val="000000"/>
                <w:sz w:val="20"/>
                <w:szCs w:val="20"/>
              </w:rPr>
              <w:t xml:space="preserve">： </w:t>
            </w:r>
            <w:r>
              <w:rPr>
                <w:color w:val="000000"/>
                <w:sz w:val="20"/>
              </w:rPr>
              <w:t>重庆市巫溪县融媒体中心</w:t>
            </w:r>
          </w:p>
        </w:tc>
        <w:tc>
          <w:tcPr>
            <w:tcW w:w="1707" w:type="dxa"/>
            <w:gridSpan w:val="2"/>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gridSpan w:val="4"/>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322" w:type="dxa"/>
            <w:gridSpan w:val="2"/>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511" w:type="dxa"/>
            <w:gridSpan w:val="3"/>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49" w:type="dxa"/>
            <w:gridSpan w:val="8"/>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gridSpan w:val="2"/>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gridSpan w:val="4"/>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322" w:type="dxa"/>
            <w:gridSpan w:val="2"/>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1511" w:type="dxa"/>
            <w:gridSpan w:val="3"/>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42"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w:t>
            </w:r>
          </w:p>
        </w:tc>
        <w:tc>
          <w:tcPr>
            <w:tcW w:w="1707" w:type="dxa"/>
            <w:gridSpan w:val="3"/>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年初结转和结余</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本年收入</w:t>
            </w:r>
          </w:p>
        </w:tc>
        <w:tc>
          <w:tcPr>
            <w:tcW w:w="4736" w:type="dxa"/>
            <w:gridSpan w:val="7"/>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本年支出</w:t>
            </w:r>
          </w:p>
        </w:tc>
        <w:tc>
          <w:tcPr>
            <w:tcW w:w="1511"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55" w:type="dxa"/>
            <w:gridSpan w:val="2"/>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087"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项目（按“项”级功能分类科目）</w:t>
            </w:r>
          </w:p>
        </w:tc>
        <w:tc>
          <w:tcPr>
            <w:tcW w:w="1707"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gridSpan w:val="4"/>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基本支出</w:t>
            </w:r>
          </w:p>
        </w:tc>
        <w:tc>
          <w:tcPr>
            <w:tcW w:w="132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项目支出</w:t>
            </w:r>
          </w:p>
        </w:tc>
        <w:tc>
          <w:tcPr>
            <w:tcW w:w="1511"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335" w:hRule="atLeast"/>
        </w:trPr>
        <w:tc>
          <w:tcPr>
            <w:tcW w:w="1855" w:type="dxa"/>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87"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gridSpan w:val="4"/>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2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511"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645" w:hRule="atLeast"/>
        </w:trPr>
        <w:tc>
          <w:tcPr>
            <w:tcW w:w="1855" w:type="dxa"/>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87"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gridSpan w:val="4"/>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32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1511"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5"/>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170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rPr>
              <w:t xml:space="preserve"> </w:t>
            </w:r>
          </w:p>
        </w:tc>
        <w:tc>
          <w:tcPr>
            <w:tcW w:w="170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rPr>
              <w:t xml:space="preserve"> </w:t>
            </w:r>
          </w:p>
        </w:tc>
        <w:tc>
          <w:tcPr>
            <w:tcW w:w="1707"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rPr>
              <w:t xml:space="preserve"> </w:t>
            </w:r>
          </w:p>
        </w:tc>
        <w:tc>
          <w:tcPr>
            <w:tcW w:w="132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rPr>
              <w:t xml:space="preserve"> </w:t>
            </w:r>
          </w:p>
        </w:tc>
        <w:tc>
          <w:tcPr>
            <w:tcW w:w="151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rPr>
              <w:t xml:space="preserve"> </w:t>
            </w:r>
          </w:p>
        </w:tc>
      </w:tr>
    </w:tbl>
    <w:p>
      <w:pPr>
        <w:rPr>
          <w:rFonts w:cs="宋体"/>
          <w:sz w:val="21"/>
          <w:szCs w:val="21"/>
        </w:rPr>
      </w:pPr>
      <w:r>
        <w:rPr>
          <w:rFonts w:cs="宋体"/>
          <w:sz w:val="20"/>
          <w:szCs w:val="20"/>
        </w:rPr>
        <w:t>备注：本表反映</w:t>
      </w:r>
      <w:r>
        <w:rPr>
          <w:rFonts w:hint="eastAsia" w:cs="宋体"/>
          <w:sz w:val="20"/>
          <w:szCs w:val="20"/>
          <w:lang w:val="en-US" w:eastAsia="zh-CN"/>
        </w:rPr>
        <w:t>部门</w:t>
      </w:r>
      <w:r>
        <w:rPr>
          <w:rFonts w:cs="宋体"/>
          <w:sz w:val="20"/>
          <w:szCs w:val="20"/>
        </w:rPr>
        <w:t>本年度政府性基金预算财政拨款收入支出及结转和结余情况。本</w:t>
      </w:r>
      <w:r>
        <w:rPr>
          <w:rFonts w:hint="eastAsia" w:cs="宋体"/>
          <w:sz w:val="20"/>
          <w:szCs w:val="20"/>
          <w:lang w:val="en-US" w:eastAsia="zh-CN"/>
        </w:rPr>
        <w:t>部门</w:t>
      </w:r>
      <w:r>
        <w:rPr>
          <w:rFonts w:cs="宋体"/>
          <w:sz w:val="20"/>
          <w:szCs w:val="20"/>
        </w:rPr>
        <w:t>无政府性基金收支，故本表无数据。</w:t>
      </w:r>
      <w:r>
        <w:rPr>
          <w:rFonts w:cs="宋体"/>
          <w:sz w:val="20"/>
          <w:szCs w:val="20"/>
        </w:rPr>
        <w:br w:type="textWrapping"/>
      </w:r>
      <w:r>
        <w:rPr>
          <w:rFonts w:cs="宋体"/>
          <w:sz w:val="20"/>
          <w:szCs w:val="20"/>
        </w:rPr>
        <w:br w:type="textWrapping"/>
      </w:r>
    </w:p>
    <w:p>
      <w:pPr>
        <w:rPr>
          <w:rFonts w:cs="宋体"/>
          <w:sz w:val="21"/>
          <w:szCs w:val="21"/>
        </w:rPr>
      </w:pPr>
      <w:r>
        <w:rPr>
          <w:rFonts w:cs="宋体"/>
          <w:sz w:val="21"/>
          <w:szCs w:val="21"/>
        </w:rPr>
        <w:br w:type="page"/>
      </w:r>
    </w:p>
    <w:tbl>
      <w:tblPr>
        <w:tblStyle w:val="9"/>
        <w:tblW w:w="14260" w:type="dxa"/>
        <w:tblInd w:w="0" w:type="dxa"/>
        <w:tblLayout w:type="fixed"/>
        <w:tblCellMar>
          <w:top w:w="0" w:type="dxa"/>
          <w:left w:w="0" w:type="dxa"/>
          <w:bottom w:w="0" w:type="dxa"/>
          <w:right w:w="0" w:type="dxa"/>
        </w:tblCellMar>
      </w:tblPr>
      <w:tblGrid>
        <w:gridCol w:w="1882"/>
        <w:gridCol w:w="3060"/>
        <w:gridCol w:w="3276"/>
        <w:gridCol w:w="200"/>
        <w:gridCol w:w="3475"/>
        <w:gridCol w:w="77"/>
        <w:gridCol w:w="2290"/>
      </w:tblGrid>
      <w:tr>
        <w:tblPrEx>
          <w:tblCellMar>
            <w:top w:w="0" w:type="dxa"/>
            <w:left w:w="0" w:type="dxa"/>
            <w:bottom w:w="0" w:type="dxa"/>
            <w:right w:w="0" w:type="dxa"/>
          </w:tblCellMar>
        </w:tblPrEx>
        <w:trPr>
          <w:trHeight w:val="650" w:hRule="atLeast"/>
        </w:trPr>
        <w:tc>
          <w:tcPr>
            <w:tcW w:w="14260"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cs="宋体"/>
                <w:color w:val="000000"/>
                <w:sz w:val="20"/>
                <w:szCs w:val="20"/>
              </w:rPr>
            </w:pPr>
            <w:r>
              <w:rPr>
                <w:rFonts w:cs="宋体"/>
                <w:sz w:val="20"/>
                <w:szCs w:val="20"/>
              </w:rPr>
              <w:t>公开</w:t>
            </w:r>
            <w:r>
              <w:rPr>
                <w:rFonts w:hint="eastAsia" w:cs="宋体"/>
                <w:sz w:val="20"/>
                <w:szCs w:val="20"/>
                <w:lang w:val="en-US" w:eastAsia="zh-CN"/>
              </w:rPr>
              <w:t>部门</w:t>
            </w:r>
            <w:r>
              <w:rPr>
                <w:rFonts w:cs="宋体"/>
                <w:color w:val="000000"/>
                <w:sz w:val="20"/>
                <w:szCs w:val="20"/>
              </w:rPr>
              <w:t xml:space="preserve">： </w:t>
            </w:r>
            <w:r>
              <w:rPr>
                <w:color w:val="000000"/>
                <w:sz w:val="20"/>
              </w:rPr>
              <w:t>重庆市巫溪县融媒体中心</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229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cs="宋体"/>
                <w:color w:val="000000"/>
                <w:sz w:val="20"/>
                <w:szCs w:val="20"/>
              </w:rPr>
            </w:pPr>
          </w:p>
        </w:tc>
        <w:tc>
          <w:tcPr>
            <w:tcW w:w="229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项目</w:t>
            </w:r>
          </w:p>
        </w:tc>
        <w:tc>
          <w:tcPr>
            <w:tcW w:w="9318"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基本支出</w:t>
            </w:r>
          </w:p>
        </w:tc>
        <w:tc>
          <w:tcPr>
            <w:tcW w:w="2367"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项目支出</w:t>
            </w:r>
          </w:p>
        </w:tc>
      </w:tr>
      <w:tr>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2367"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2367"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c>
          <w:tcPr>
            <w:tcW w:w="2367"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cs="宋体"/>
                <w:b/>
                <w:color w:val="000000"/>
                <w:sz w:val="20"/>
                <w:szCs w:val="20"/>
              </w:rPr>
            </w:pPr>
          </w:p>
        </w:tc>
        <w:tc>
          <w:tcPr>
            <w:tcW w:w="236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cs="宋体"/>
                <w:b/>
                <w:color w:val="000000"/>
                <w:sz w:val="20"/>
                <w:szCs w:val="20"/>
              </w:rPr>
            </w:pPr>
            <w:r>
              <w:rPr>
                <w:b/>
                <w:color w:val="000000"/>
                <w:sz w:val="20"/>
              </w:rPr>
              <w:t xml:space="preserve"> </w:t>
            </w:r>
          </w:p>
        </w:tc>
      </w:tr>
    </w:tbl>
    <w:p>
      <w:pPr>
        <w:rPr>
          <w:rFonts w:cs="宋体"/>
          <w:sz w:val="21"/>
          <w:szCs w:val="21"/>
        </w:rPr>
      </w:pPr>
      <w:r>
        <w:rPr>
          <w:rFonts w:cs="宋体"/>
          <w:sz w:val="20"/>
          <w:szCs w:val="20"/>
        </w:rPr>
        <w:t>备注：本表反映</w:t>
      </w:r>
      <w:r>
        <w:rPr>
          <w:rFonts w:hint="eastAsia" w:cs="宋体"/>
          <w:sz w:val="20"/>
          <w:szCs w:val="20"/>
          <w:lang w:val="en-US" w:eastAsia="zh-CN"/>
        </w:rPr>
        <w:t>部门</w:t>
      </w:r>
      <w:r>
        <w:rPr>
          <w:rFonts w:cs="宋体"/>
          <w:sz w:val="20"/>
          <w:szCs w:val="20"/>
        </w:rPr>
        <w:t>本年度国有资本经营预算财政拨款支出情况。本</w:t>
      </w:r>
      <w:r>
        <w:rPr>
          <w:rFonts w:hint="eastAsia" w:cs="宋体"/>
          <w:sz w:val="20"/>
          <w:szCs w:val="20"/>
          <w:lang w:val="en-US" w:eastAsia="zh-CN"/>
        </w:rPr>
        <w:t>部门</w:t>
      </w:r>
      <w:r>
        <w:rPr>
          <w:rFonts w:cs="宋体"/>
          <w:sz w:val="20"/>
          <w:szCs w:val="20"/>
        </w:rPr>
        <w:t>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14249" w:type="dxa"/>
        <w:tblInd w:w="0" w:type="dxa"/>
        <w:tblLayout w:type="fixed"/>
        <w:tblCellMar>
          <w:top w:w="0" w:type="dxa"/>
          <w:left w:w="170" w:type="dxa"/>
          <w:bottom w:w="0" w:type="dxa"/>
          <w:right w:w="170" w:type="dxa"/>
        </w:tblCellMar>
      </w:tblPr>
      <w:tblGrid>
        <w:gridCol w:w="4041"/>
        <w:gridCol w:w="2166"/>
        <w:gridCol w:w="2115"/>
        <w:gridCol w:w="4524"/>
        <w:gridCol w:w="1403"/>
      </w:tblGrid>
      <w:tr>
        <w:tblPrEx>
          <w:tblCellMar>
            <w:top w:w="0" w:type="dxa"/>
            <w:left w:w="170" w:type="dxa"/>
            <w:bottom w:w="0" w:type="dxa"/>
            <w:right w:w="170" w:type="dxa"/>
          </w:tblCellMar>
        </w:tblPrEx>
        <w:trPr>
          <w:trHeight w:val="343" w:hRule="atLeast"/>
        </w:trPr>
        <w:tc>
          <w:tcPr>
            <w:tcW w:w="14249"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cs="宋体"/>
                <w:color w:val="000000"/>
                <w:sz w:val="20"/>
                <w:szCs w:val="20"/>
              </w:rPr>
            </w:pPr>
          </w:p>
        </w:tc>
        <w:tc>
          <w:tcPr>
            <w:tcW w:w="140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cs="宋体"/>
                <w:color w:val="000000"/>
                <w:sz w:val="20"/>
                <w:szCs w:val="20"/>
              </w:rPr>
            </w:pPr>
            <w:r>
              <w:rPr>
                <w:rFonts w:cs="宋体"/>
                <w:sz w:val="20"/>
                <w:szCs w:val="20"/>
              </w:rPr>
              <w:t>公开</w:t>
            </w:r>
            <w:r>
              <w:rPr>
                <w:rFonts w:hint="eastAsia" w:cs="宋体"/>
                <w:sz w:val="20"/>
                <w:szCs w:val="20"/>
                <w:lang w:val="en-US" w:eastAsia="zh-CN"/>
              </w:rPr>
              <w:t>部门</w:t>
            </w:r>
            <w:r>
              <w:rPr>
                <w:rFonts w:cs="宋体"/>
                <w:color w:val="000000"/>
                <w:sz w:val="20"/>
                <w:szCs w:val="20"/>
              </w:rPr>
              <w:t xml:space="preserve">： </w:t>
            </w:r>
            <w:r>
              <w:rPr>
                <w:color w:val="000000"/>
                <w:sz w:val="20"/>
              </w:rPr>
              <w:t>重庆市巫溪县融媒体中心</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cs="宋体"/>
                <w:color w:val="000000"/>
                <w:sz w:val="20"/>
                <w:szCs w:val="20"/>
              </w:rPr>
            </w:pPr>
          </w:p>
        </w:tc>
        <w:tc>
          <w:tcPr>
            <w:tcW w:w="140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项  目</w:t>
            </w:r>
          </w:p>
        </w:tc>
        <w:tc>
          <w:tcPr>
            <w:tcW w:w="1403"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四、机关运行经费</w:t>
            </w:r>
          </w:p>
        </w:tc>
        <w:tc>
          <w:tcPr>
            <w:tcW w:w="14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rFonts w:cs="宋体"/>
                <w:color w:val="000000"/>
                <w:sz w:val="16"/>
                <w:szCs w:val="16"/>
              </w:rPr>
              <w:t>11.08</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rFonts w:cs="宋体"/>
                <w:color w:val="000000"/>
                <w:sz w:val="16"/>
                <w:szCs w:val="16"/>
              </w:rPr>
              <w:t>11.08</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（一）行政单位</w:t>
            </w:r>
          </w:p>
        </w:tc>
        <w:tc>
          <w:tcPr>
            <w:tcW w:w="14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（二）参照公务员法管理事业单位</w:t>
            </w:r>
          </w:p>
        </w:tc>
        <w:tc>
          <w:tcPr>
            <w:tcW w:w="14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rFonts w:cs="宋体"/>
                <w:color w:val="000000"/>
                <w:sz w:val="16"/>
                <w:szCs w:val="16"/>
              </w:rPr>
              <w:t>7.42</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rFonts w:cs="宋体"/>
                <w:color w:val="000000"/>
                <w:sz w:val="16"/>
                <w:szCs w:val="16"/>
              </w:rPr>
              <w:t>7.42</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五、资产信息</w:t>
            </w:r>
          </w:p>
        </w:tc>
        <w:tc>
          <w:tcPr>
            <w:tcW w:w="14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（一）车辆数合计（辆）</w:t>
            </w:r>
          </w:p>
        </w:tc>
        <w:tc>
          <w:tcPr>
            <w:tcW w:w="14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rFonts w:cs="宋体"/>
                <w:color w:val="000000"/>
                <w:sz w:val="16"/>
                <w:szCs w:val="16"/>
              </w:rPr>
              <w:t xml:space="preserve">2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rFonts w:cs="宋体"/>
                <w:color w:val="000000"/>
                <w:sz w:val="16"/>
                <w:szCs w:val="16"/>
              </w:rPr>
              <w:t>7.42</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rFonts w:cs="宋体"/>
                <w:color w:val="000000"/>
                <w:sz w:val="16"/>
                <w:szCs w:val="16"/>
              </w:rPr>
              <w:t>7.42</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1．副部（省）级及以上领导用车</w:t>
            </w:r>
          </w:p>
        </w:tc>
        <w:tc>
          <w:tcPr>
            <w:tcW w:w="14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rFonts w:cs="宋体"/>
                <w:color w:val="000000"/>
                <w:sz w:val="16"/>
                <w:szCs w:val="16"/>
              </w:rPr>
              <w:t>3.65</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rFonts w:cs="宋体"/>
                <w:color w:val="000000"/>
                <w:sz w:val="16"/>
                <w:szCs w:val="16"/>
              </w:rPr>
              <w:t>3.65</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2．主要领导干部用车</w:t>
            </w:r>
          </w:p>
        </w:tc>
        <w:tc>
          <w:tcPr>
            <w:tcW w:w="14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rFonts w:cs="宋体"/>
                <w:color w:val="000000"/>
                <w:sz w:val="16"/>
                <w:szCs w:val="16"/>
              </w:rPr>
              <w:t>3.65</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3．机要通信用车</w:t>
            </w:r>
          </w:p>
        </w:tc>
        <w:tc>
          <w:tcPr>
            <w:tcW w:w="14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4．应急保障用车</w:t>
            </w:r>
          </w:p>
        </w:tc>
        <w:tc>
          <w:tcPr>
            <w:tcW w:w="14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rFonts w:cs="宋体"/>
                <w:color w:val="000000"/>
                <w:sz w:val="16"/>
                <w:szCs w:val="16"/>
              </w:rPr>
              <w:t>2</w:t>
            </w: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5．执法执勤用车</w:t>
            </w:r>
          </w:p>
        </w:tc>
        <w:tc>
          <w:tcPr>
            <w:tcW w:w="14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6．特种专业技术用车</w:t>
            </w:r>
          </w:p>
        </w:tc>
        <w:tc>
          <w:tcPr>
            <w:tcW w:w="14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7．离退休干部用车</w:t>
            </w:r>
          </w:p>
        </w:tc>
        <w:tc>
          <w:tcPr>
            <w:tcW w:w="14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8．其他用车</w:t>
            </w:r>
          </w:p>
        </w:tc>
        <w:tc>
          <w:tcPr>
            <w:tcW w:w="14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（二）单价100万元（含）以上设备（不含车辆）</w:t>
            </w:r>
          </w:p>
        </w:tc>
        <w:tc>
          <w:tcPr>
            <w:tcW w:w="14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rFonts w:cs="宋体"/>
                <w:color w:val="000000"/>
                <w:sz w:val="16"/>
                <w:szCs w:val="16"/>
              </w:rPr>
              <w:t>1</w:t>
            </w: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rFonts w:cs="宋体"/>
                <w:color w:val="000000"/>
                <w:sz w:val="16"/>
                <w:szCs w:val="16"/>
              </w:rPr>
              <w:t>2</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六、政府采购支出信息</w:t>
            </w:r>
          </w:p>
        </w:tc>
        <w:tc>
          <w:tcPr>
            <w:tcW w:w="14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rFonts w:cs="宋体"/>
                <w:color w:val="000000"/>
                <w:sz w:val="16"/>
                <w:szCs w:val="16"/>
              </w:rPr>
              <w:t>156</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（一）政府采购支出合计</w:t>
            </w:r>
          </w:p>
        </w:tc>
        <w:tc>
          <w:tcPr>
            <w:tcW w:w="14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1．政府采购货物支出</w:t>
            </w:r>
          </w:p>
        </w:tc>
        <w:tc>
          <w:tcPr>
            <w:tcW w:w="14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rFonts w:cs="宋体"/>
                <w:color w:val="000000"/>
                <w:sz w:val="16"/>
                <w:szCs w:val="16"/>
              </w:rPr>
              <w:t>730</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2．政府采购工程支出</w:t>
            </w:r>
          </w:p>
        </w:tc>
        <w:tc>
          <w:tcPr>
            <w:tcW w:w="14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3．政府采购服务支出</w:t>
            </w:r>
          </w:p>
        </w:tc>
        <w:tc>
          <w:tcPr>
            <w:tcW w:w="14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（二）政府采购授予中小企业合同金额</w:t>
            </w:r>
          </w:p>
        </w:tc>
        <w:tc>
          <w:tcPr>
            <w:tcW w:w="14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 xml:space="preserve">        其中：授予小微企业合同金额</w:t>
            </w:r>
          </w:p>
        </w:tc>
        <w:tc>
          <w:tcPr>
            <w:tcW w:w="14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cs="宋体"/>
                <w:color w:val="000000"/>
                <w:sz w:val="16"/>
                <w:szCs w:val="16"/>
              </w:rPr>
            </w:pPr>
          </w:p>
        </w:tc>
        <w:tc>
          <w:tcPr>
            <w:tcW w:w="14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cs="宋体"/>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cs="宋体"/>
                <w:color w:val="000000"/>
                <w:sz w:val="16"/>
                <w:szCs w:val="16"/>
              </w:rPr>
            </w:pPr>
            <w:r>
              <w:rPr>
                <w:rFonts w:cs="宋体"/>
                <w:color w:val="000000"/>
                <w:sz w:val="16"/>
                <w:szCs w:val="16"/>
              </w:rPr>
              <w:t>2.03</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cs="宋体"/>
                <w:color w:val="000000"/>
                <w:sz w:val="16"/>
                <w:szCs w:val="16"/>
              </w:rPr>
            </w:pPr>
          </w:p>
        </w:tc>
        <w:tc>
          <w:tcPr>
            <w:tcW w:w="14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cs="宋体"/>
                <w:color w:val="000000"/>
                <w:sz w:val="16"/>
                <w:szCs w:val="16"/>
              </w:rPr>
            </w:pPr>
          </w:p>
        </w:tc>
      </w:tr>
    </w:tbl>
    <w:p>
      <w:pPr>
        <w:rPr>
          <w:rFonts w:cs="宋体"/>
          <w:sz w:val="20"/>
          <w:szCs w:val="20"/>
        </w:rPr>
      </w:pPr>
      <w:r>
        <w:rPr>
          <w:rFonts w:cs="宋体"/>
          <w:sz w:val="20"/>
          <w:szCs w:val="20"/>
        </w:rPr>
        <w:t>备注：1.本表反映</w:t>
      </w:r>
      <w:r>
        <w:rPr>
          <w:rFonts w:hint="eastAsia" w:cs="宋体"/>
          <w:sz w:val="20"/>
          <w:szCs w:val="20"/>
          <w:lang w:val="en-US" w:eastAsia="zh-CN"/>
        </w:rPr>
        <w:t>部门</w:t>
      </w:r>
      <w:r>
        <w:rPr>
          <w:rFonts w:cs="宋体"/>
          <w:sz w:val="20"/>
          <w:szCs w:val="20"/>
        </w:rPr>
        <w:t>本年度财政拨款“三公”经费支出预决算情况。其中，预算数为“三公”经费全年预算数，反映按规定程序调整后的预算数；决算数为包括</w:t>
      </w:r>
    </w:p>
    <w:p>
      <w:pPr>
        <w:rPr>
          <w:rFonts w:cs="宋体"/>
          <w:sz w:val="21"/>
          <w:szCs w:val="21"/>
        </w:rPr>
      </w:pPr>
      <w:r>
        <w:rPr>
          <w:rFonts w:cs="宋体"/>
          <w:sz w:val="20"/>
          <w:szCs w:val="20"/>
        </w:rPr>
        <w:t>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3000509000000000000"/>
    <w:charset w:val="86"/>
    <w:family w:val="auto"/>
    <w:pitch w:val="default"/>
    <w:sig w:usb0="00000001" w:usb1="080E0000" w:usb2="00000000" w:usb3="00000000" w:csb0="00040000" w:csb1="00000000"/>
  </w:font>
  <w:font w:name="Arial Unicode MS">
    <w:altName w:val="Times New Roman"/>
    <w:panose1 w:val="020B0604020202020204"/>
    <w:charset w:val="86"/>
    <w:family w:val="auto"/>
    <w:pitch w:val="default"/>
    <w:sig w:usb0="00000000" w:usb1="00000000"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楷体简体">
    <w:altName w:val="方正楷体_GBK"/>
    <w:panose1 w:val="03000509000000000000"/>
    <w:charset w:val="86"/>
    <w:family w:val="script"/>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10" w:usb3="00000000" w:csb0="000401FF" w:csb1="00000000"/>
  </w:font>
  <w:font w:name="方正黑体简体">
    <w:altName w:val="方正黑体_GBK"/>
    <w:panose1 w:val="02010601030101010101"/>
    <w:charset w:val="86"/>
    <w:family w:val="auto"/>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微软雅黑">
    <w:altName w:val="方正黑体_GBK"/>
    <w:panose1 w:val="020B0503020204020204"/>
    <w:charset w:val="86"/>
    <w:family w:val="auto"/>
    <w:pitch w:val="default"/>
    <w:sig w:usb0="00000000" w:usb1="00000000" w:usb2="00000016" w:usb3="00000000" w:csb0="0004001F" w:csb1="00000000"/>
  </w:font>
  <w:font w:name="国标仿宋">
    <w:panose1 w:val="02000500000000000000"/>
    <w:charset w:val="86"/>
    <w:family w:val="auto"/>
    <w:pitch w:val="default"/>
    <w:sig w:usb0="A00002BF" w:usb1="38C7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eBxdMAIAAGM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hMmzLGz1zvIIHeXxdnUMkLNTOYrSK4HuxA1mr+vT8E7icP+576Ie/w3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CgAAAAAAh07iQAAAAAAAAAAAAAAAAAYAAAAA&#10;AAAAAAAQAAAAlAMAAF9yZWxzL1BLAQIUAAoAAAAAAIdO4kAAAAAAAAAAAAAAAAAEAAAAAAAAAAAA&#10;EAAAABYAAABkcnMvUEsBAhQAFAAAAAgAh07iQKOYorozAgAAZwQAAA4AAAAAAAAAAQAgAAAANQEA&#10;AGRycy9lMm9Eb2MueG1sUEsBAhQAFAAAAAgAh07iQLNJWO7QAAAABQEAAA8AAAAAAAAAAQAgAAAA&#10;OAAAAGRycy9kb3ducmV2LnhtbFBLBQYAAAAABgAGAFkBAADa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">
              <v:fill on="f" focussize="0,0"/>
              <v:stroke on="f" weight="0.5pt"/>
              <v:imagedata o:title=""/>
              <o:lock v:ext="edit" aspectratio="f"/>
              <v:textbox inset="0mm,0mm,0mm,0mm">
                <w:txbxContent>
                  <w:p>
                    <w:pPr>
                      <w:pStyle w:val="5"/>
                      <w:jc w:val="both"/>
                      <w:rPr>
                        <w:rFonts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zODgyNzEyNGEzNjNhMDhkNjY0ODJiNmRkMjBjN2QifQ=="/>
  </w:docVars>
  <w:rsids>
    <w:rsidRoot w:val="00B03CCD"/>
    <w:rsid w:val="00056F09"/>
    <w:rsid w:val="000949A1"/>
    <w:rsid w:val="000F5C85"/>
    <w:rsid w:val="000F6F5F"/>
    <w:rsid w:val="001B21D9"/>
    <w:rsid w:val="001D3BB7"/>
    <w:rsid w:val="002B254B"/>
    <w:rsid w:val="0031480F"/>
    <w:rsid w:val="00346CFE"/>
    <w:rsid w:val="00350DB6"/>
    <w:rsid w:val="00364B2B"/>
    <w:rsid w:val="003B306D"/>
    <w:rsid w:val="00440237"/>
    <w:rsid w:val="00446B76"/>
    <w:rsid w:val="004544B2"/>
    <w:rsid w:val="00466C9B"/>
    <w:rsid w:val="00537397"/>
    <w:rsid w:val="00550ABE"/>
    <w:rsid w:val="00557FBE"/>
    <w:rsid w:val="006B0BBA"/>
    <w:rsid w:val="006F1131"/>
    <w:rsid w:val="007431C8"/>
    <w:rsid w:val="00770383"/>
    <w:rsid w:val="007711AB"/>
    <w:rsid w:val="007819D4"/>
    <w:rsid w:val="007B419D"/>
    <w:rsid w:val="007B7C4B"/>
    <w:rsid w:val="007D3D39"/>
    <w:rsid w:val="00877399"/>
    <w:rsid w:val="008A0C35"/>
    <w:rsid w:val="00993FB4"/>
    <w:rsid w:val="00994AF7"/>
    <w:rsid w:val="009B67B8"/>
    <w:rsid w:val="009D2B67"/>
    <w:rsid w:val="00A14E3F"/>
    <w:rsid w:val="00A35F02"/>
    <w:rsid w:val="00A566F9"/>
    <w:rsid w:val="00AF2751"/>
    <w:rsid w:val="00B03CCD"/>
    <w:rsid w:val="00B83ADA"/>
    <w:rsid w:val="00B848D2"/>
    <w:rsid w:val="00BB3A63"/>
    <w:rsid w:val="00BE2B89"/>
    <w:rsid w:val="00C10E9E"/>
    <w:rsid w:val="00C20C3E"/>
    <w:rsid w:val="00C9549C"/>
    <w:rsid w:val="00D74DD7"/>
    <w:rsid w:val="00E13BFE"/>
    <w:rsid w:val="00E30883"/>
    <w:rsid w:val="00E74B9D"/>
    <w:rsid w:val="00EC36B4"/>
    <w:rsid w:val="00F01CF1"/>
    <w:rsid w:val="00F11F16"/>
    <w:rsid w:val="00F34BFB"/>
    <w:rsid w:val="00F73F90"/>
    <w:rsid w:val="00FF000B"/>
    <w:rsid w:val="01474EBF"/>
    <w:rsid w:val="01626374"/>
    <w:rsid w:val="01F3521E"/>
    <w:rsid w:val="035331A4"/>
    <w:rsid w:val="03B87EA0"/>
    <w:rsid w:val="03E3214F"/>
    <w:rsid w:val="03F63C7C"/>
    <w:rsid w:val="044C50BA"/>
    <w:rsid w:val="05BC6D49"/>
    <w:rsid w:val="06194FF1"/>
    <w:rsid w:val="06A2550B"/>
    <w:rsid w:val="06D3382F"/>
    <w:rsid w:val="06F80EE2"/>
    <w:rsid w:val="07001CCA"/>
    <w:rsid w:val="070459F1"/>
    <w:rsid w:val="07145AA2"/>
    <w:rsid w:val="075678DB"/>
    <w:rsid w:val="079D7CC7"/>
    <w:rsid w:val="08051BCA"/>
    <w:rsid w:val="086C12F4"/>
    <w:rsid w:val="08705944"/>
    <w:rsid w:val="08BA052C"/>
    <w:rsid w:val="08DB07BA"/>
    <w:rsid w:val="0969353F"/>
    <w:rsid w:val="098305D0"/>
    <w:rsid w:val="09E14F67"/>
    <w:rsid w:val="0A3317EA"/>
    <w:rsid w:val="0A5C4B69"/>
    <w:rsid w:val="0A86124A"/>
    <w:rsid w:val="0A9E02AC"/>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A703AD"/>
    <w:rsid w:val="11D843B7"/>
    <w:rsid w:val="11ED0F98"/>
    <w:rsid w:val="11F03528"/>
    <w:rsid w:val="12B428A2"/>
    <w:rsid w:val="12C921C4"/>
    <w:rsid w:val="13871C70"/>
    <w:rsid w:val="13A71CB4"/>
    <w:rsid w:val="13AF1D43"/>
    <w:rsid w:val="13CE1647"/>
    <w:rsid w:val="13FD55AB"/>
    <w:rsid w:val="14200702"/>
    <w:rsid w:val="163A6CEE"/>
    <w:rsid w:val="16540753"/>
    <w:rsid w:val="173708E3"/>
    <w:rsid w:val="17872239"/>
    <w:rsid w:val="17C374FC"/>
    <w:rsid w:val="17F6116D"/>
    <w:rsid w:val="182E4AB6"/>
    <w:rsid w:val="189079DC"/>
    <w:rsid w:val="18926EF2"/>
    <w:rsid w:val="189B0D0B"/>
    <w:rsid w:val="18B43F7C"/>
    <w:rsid w:val="194A1770"/>
    <w:rsid w:val="19B906A4"/>
    <w:rsid w:val="1B6F15B6"/>
    <w:rsid w:val="1BAA2EDC"/>
    <w:rsid w:val="1C3613CC"/>
    <w:rsid w:val="1CA55E64"/>
    <w:rsid w:val="1D014A01"/>
    <w:rsid w:val="1D022362"/>
    <w:rsid w:val="1D1B04B0"/>
    <w:rsid w:val="1D806E08"/>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5AB5544"/>
    <w:rsid w:val="26396DF4"/>
    <w:rsid w:val="27167136"/>
    <w:rsid w:val="271B442C"/>
    <w:rsid w:val="27B23302"/>
    <w:rsid w:val="286C4C0A"/>
    <w:rsid w:val="29310A5F"/>
    <w:rsid w:val="29C37A35"/>
    <w:rsid w:val="2A076083"/>
    <w:rsid w:val="2A36354D"/>
    <w:rsid w:val="2A73162E"/>
    <w:rsid w:val="2B167953"/>
    <w:rsid w:val="2B200583"/>
    <w:rsid w:val="2B8209DE"/>
    <w:rsid w:val="2BB778C5"/>
    <w:rsid w:val="2C636760"/>
    <w:rsid w:val="2C6762A3"/>
    <w:rsid w:val="2DAB071E"/>
    <w:rsid w:val="2FCA4B37"/>
    <w:rsid w:val="2FCC7BC8"/>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003748"/>
    <w:rsid w:val="36C9128A"/>
    <w:rsid w:val="37761E9F"/>
    <w:rsid w:val="37841E99"/>
    <w:rsid w:val="37B82D58"/>
    <w:rsid w:val="37BF1123"/>
    <w:rsid w:val="383C3F15"/>
    <w:rsid w:val="38BE4696"/>
    <w:rsid w:val="39306AE1"/>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DF633C5"/>
    <w:rsid w:val="3E1D0952"/>
    <w:rsid w:val="3E42660A"/>
    <w:rsid w:val="3E7555B1"/>
    <w:rsid w:val="3E787ED9"/>
    <w:rsid w:val="3F032E93"/>
    <w:rsid w:val="3F0527E5"/>
    <w:rsid w:val="3F694D83"/>
    <w:rsid w:val="3F885DCC"/>
    <w:rsid w:val="3FC484FA"/>
    <w:rsid w:val="3FCD675E"/>
    <w:rsid w:val="4004000C"/>
    <w:rsid w:val="40BD5482"/>
    <w:rsid w:val="411B6CE5"/>
    <w:rsid w:val="412070D7"/>
    <w:rsid w:val="41314E40"/>
    <w:rsid w:val="41E0734B"/>
    <w:rsid w:val="426C1EA8"/>
    <w:rsid w:val="42736402"/>
    <w:rsid w:val="42E86A87"/>
    <w:rsid w:val="43307B09"/>
    <w:rsid w:val="439A3EB9"/>
    <w:rsid w:val="43BB152F"/>
    <w:rsid w:val="44C37687"/>
    <w:rsid w:val="458E786A"/>
    <w:rsid w:val="459D2848"/>
    <w:rsid w:val="45CB699A"/>
    <w:rsid w:val="46310186"/>
    <w:rsid w:val="465B470D"/>
    <w:rsid w:val="469D6AD4"/>
    <w:rsid w:val="471E6C84"/>
    <w:rsid w:val="4748792B"/>
    <w:rsid w:val="475D719D"/>
    <w:rsid w:val="47674801"/>
    <w:rsid w:val="48225EF7"/>
    <w:rsid w:val="488F422B"/>
    <w:rsid w:val="48950E0E"/>
    <w:rsid w:val="48E36915"/>
    <w:rsid w:val="48EB6572"/>
    <w:rsid w:val="495C4A24"/>
    <w:rsid w:val="497135DF"/>
    <w:rsid w:val="49C63DB4"/>
    <w:rsid w:val="4A263DF2"/>
    <w:rsid w:val="4A6F6675"/>
    <w:rsid w:val="4B135857"/>
    <w:rsid w:val="4B7951CB"/>
    <w:rsid w:val="4B7C315C"/>
    <w:rsid w:val="4CE03BBE"/>
    <w:rsid w:val="4DAC4ACA"/>
    <w:rsid w:val="4DBE01D2"/>
    <w:rsid w:val="4F0C6BA3"/>
    <w:rsid w:val="4F186D58"/>
    <w:rsid w:val="50F06B6E"/>
    <w:rsid w:val="51D21804"/>
    <w:rsid w:val="52234D33"/>
    <w:rsid w:val="522F6E0C"/>
    <w:rsid w:val="52463BA1"/>
    <w:rsid w:val="52F163D4"/>
    <w:rsid w:val="531A2DB4"/>
    <w:rsid w:val="53C0244D"/>
    <w:rsid w:val="53C1128C"/>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290C52"/>
    <w:rsid w:val="63C25DC5"/>
    <w:rsid w:val="63C62057"/>
    <w:rsid w:val="64571EF5"/>
    <w:rsid w:val="646556E0"/>
    <w:rsid w:val="647D0420"/>
    <w:rsid w:val="64FB113D"/>
    <w:rsid w:val="656152C6"/>
    <w:rsid w:val="6587477F"/>
    <w:rsid w:val="658C3A08"/>
    <w:rsid w:val="65C031CA"/>
    <w:rsid w:val="65CE6852"/>
    <w:rsid w:val="66267C04"/>
    <w:rsid w:val="663F505A"/>
    <w:rsid w:val="66EE5541"/>
    <w:rsid w:val="67924660"/>
    <w:rsid w:val="67E3388C"/>
    <w:rsid w:val="68407834"/>
    <w:rsid w:val="6883293E"/>
    <w:rsid w:val="688412AD"/>
    <w:rsid w:val="689265D4"/>
    <w:rsid w:val="68EB1B71"/>
    <w:rsid w:val="69330922"/>
    <w:rsid w:val="69E139B2"/>
    <w:rsid w:val="6A6C7940"/>
    <w:rsid w:val="6AAD2300"/>
    <w:rsid w:val="6B474EF5"/>
    <w:rsid w:val="6B9E3DFC"/>
    <w:rsid w:val="6C0A5AC5"/>
    <w:rsid w:val="6C560CAE"/>
    <w:rsid w:val="6C576495"/>
    <w:rsid w:val="6D903FF5"/>
    <w:rsid w:val="6DA955B8"/>
    <w:rsid w:val="6DB754B8"/>
    <w:rsid w:val="6DE346AB"/>
    <w:rsid w:val="6DE5391A"/>
    <w:rsid w:val="6E605745"/>
    <w:rsid w:val="6EFD1324"/>
    <w:rsid w:val="6F5A53AC"/>
    <w:rsid w:val="6FAC003D"/>
    <w:rsid w:val="6FE55E12"/>
    <w:rsid w:val="6FFB2E76"/>
    <w:rsid w:val="70562C43"/>
    <w:rsid w:val="708F6F7F"/>
    <w:rsid w:val="70AB265B"/>
    <w:rsid w:val="70D94BD3"/>
    <w:rsid w:val="71C34D91"/>
    <w:rsid w:val="72DB435C"/>
    <w:rsid w:val="72E2613A"/>
    <w:rsid w:val="72F771F4"/>
    <w:rsid w:val="73934AD2"/>
    <w:rsid w:val="73A63827"/>
    <w:rsid w:val="750837F0"/>
    <w:rsid w:val="751D1C2A"/>
    <w:rsid w:val="754758CF"/>
    <w:rsid w:val="75522DF4"/>
    <w:rsid w:val="764F62AB"/>
    <w:rsid w:val="765C45EC"/>
    <w:rsid w:val="768A7619"/>
    <w:rsid w:val="77274014"/>
    <w:rsid w:val="772E1EBA"/>
    <w:rsid w:val="781926BC"/>
    <w:rsid w:val="796D60A4"/>
    <w:rsid w:val="79A031D5"/>
    <w:rsid w:val="7A1525F7"/>
    <w:rsid w:val="7AE17A21"/>
    <w:rsid w:val="7B420052"/>
    <w:rsid w:val="7BD06A28"/>
    <w:rsid w:val="7C3A7C0B"/>
    <w:rsid w:val="7C5248E4"/>
    <w:rsid w:val="7C566698"/>
    <w:rsid w:val="7C5866A3"/>
    <w:rsid w:val="7D7406BB"/>
    <w:rsid w:val="7DBC000E"/>
    <w:rsid w:val="7DC8773D"/>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rFonts w:ascii="Arial Unicode MS" w:hAnsi="Arial Unicode MS" w:eastAsia="Arial Unicode MS"/>
      <w:sz w:val="32"/>
      <w:szCs w:val="32"/>
    </w:rPr>
  </w:style>
  <w:style w:type="paragraph" w:styleId="3">
    <w:name w:val="toc 5"/>
    <w:basedOn w:val="1"/>
    <w:next w:val="1"/>
    <w:qFormat/>
    <w:uiPriority w:val="39"/>
    <w:pPr>
      <w:ind w:left="1680" w:leftChars="800"/>
    </w:p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字符"/>
    <w:basedOn w:val="11"/>
    <w:link w:val="4"/>
    <w:qFormat/>
    <w:uiPriority w:val="0"/>
    <w:rPr>
      <w:rFonts w:ascii="宋体" w:hAnsi="宋体"/>
      <w:sz w:val="18"/>
      <w:szCs w:val="18"/>
    </w:rPr>
  </w:style>
  <w:style w:type="paragraph" w:customStyle="1" w:styleId="18">
    <w:name w:val="普通(网站) Char Char"/>
    <w:basedOn w:val="1"/>
    <w:qFormat/>
    <w:uiPriority w:val="0"/>
    <w:pPr>
      <w:spacing w:before="100" w:beforeAutospacing="1" w:after="100" w:afterAutospacing="1"/>
    </w:pPr>
  </w:style>
  <w:style w:type="character" w:customStyle="1" w:styleId="19">
    <w:name w:val="24"/>
    <w:basedOn w:val="11"/>
    <w:qFormat/>
    <w:uiPriority w:val="0"/>
    <w:rPr>
      <w:rFonts w:hint="default" w:ascii="Times New Roman" w:hAnsi="Times New Roman" w:cs="Times New Roman"/>
      <w:b/>
      <w:bCs/>
    </w:rPr>
  </w:style>
  <w:style w:type="paragraph" w:customStyle="1" w:styleId="20">
    <w:name w:val="NormalIndent"/>
    <w:basedOn w:val="1"/>
    <w:next w:val="1"/>
    <w:qFormat/>
    <w:uiPriority w:val="0"/>
    <w:pPr>
      <w:ind w:firstLine="420" w:firstLineChars="200"/>
      <w:textAlignment w:val="baseline"/>
    </w:pPr>
    <w:rPr>
      <w:rFonts w:ascii="Calibri" w:hAnsi="Calibri" w:eastAsia="方正仿宋_GBK"/>
      <w:sz w:val="32"/>
      <w:szCs w:val="20"/>
    </w:rPr>
  </w:style>
  <w:style w:type="character" w:customStyle="1" w:styleId="21">
    <w:name w:val="25"/>
    <w:basedOn w:val="11"/>
    <w:qFormat/>
    <w:uiPriority w:val="0"/>
    <w:rPr>
      <w:rFonts w:hint="default" w:ascii="Times New Roman" w:hAnsi="Times New Roman" w:cs="Times New Roman"/>
      <w:b/>
    </w:rPr>
  </w:style>
  <w:style w:type="paragraph" w:customStyle="1" w:styleId="22">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9480</Words>
  <Characters>11697</Characters>
  <Lines>103</Lines>
  <Paragraphs>29</Paragraphs>
  <TotalTime>6</TotalTime>
  <ScaleCrop>false</ScaleCrop>
  <LinksUpToDate>false</LinksUpToDate>
  <CharactersWithSpaces>12756</CharactersWithSpaces>
  <Application>WPS Office_11.1.0.11708_F1E327BC-269C-435d-A152-05C5408002CA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2024-09-24T13:57:00Z</dcterms:created>
  <dc:creator>Administrator</dc:creator>
  <cp:lastModifiedBy>uos</cp:lastModifiedBy>
  <dcterms:modified xsi:type="dcterms:W3CDTF">2024-10-08T17:37:42Z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2052-11.1.0.11708</vt:lpwstr>
  </property>
  <property fmtid="{D5CDD505-2E9C-101B-9397-08002B2CF9AE}" pid="3" name="ICV">
    <vt:lpwstr>0FC24E0868294F9C8A0D2DFE0DCD5EB3_13</vt:lpwstr>
  </property>
</Properties>
</file>