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adjustRightInd/>
        <w:spacing w:before="0" w:beforeAutospacing="0" w:line="600" w:lineRule="atLeast"/>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重庆市巫溪县总工会</w:t>
      </w:r>
      <w:r>
        <w:rPr>
          <w:rFonts w:ascii="方正小标宋_GBK" w:hAnsi="方正小标宋_GBK" w:eastAsia="方正小标宋_GBK" w:cs="方正小标宋_GBK"/>
          <w:sz w:val="36"/>
          <w:szCs w:val="36"/>
          <w:shd w:val="clear" w:color="auto" w:fill="FFFFFF"/>
        </w:rPr>
        <w:t>2023年度决算公开说明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1.坚持党的领导。坚决贯彻党的意志和主张，坚定不移走中国特色社会主义工会发展道路，切实增强工会工作的政治性和工会组织的先进性、群众性，汇聚全县广大职工推进社会主义现代化建设的强大合力。</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2.加强对广大职工的政治引领和思想引导。切实承担引导广大职工听党话、跟党走的政治任务，领导职工紧密团结在以习近平同志为核心的党中央周围，引导广大职工弘扬劳动精神、劳模精神，增强职工责任感。</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3.依法依章程独立自主开展工作。按照县委和市总工会的要求，贯彻执行重庆市工会代表大会和巫溪县工会代表大会确定的方针任务和作出的决议，组织和指导各级工会认真履行工会工作职能。</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4.团结动员广大职工干事创业。组织动员广大职工围绕中心、服务大局，积极主动参与党委、政府各项中心工作，把工人阶级主力军作用转化为促进经济社会发展的强大力量。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5.突出代表维护职工权益的职责。以普通劳动者为主要工作</w:t>
      </w:r>
    </w:p>
    <w:p>
      <w:pPr>
        <w:keepNext w:val="0"/>
        <w:keepLines w:val="0"/>
        <w:pageBreakBefore w:val="0"/>
        <w:widowControl/>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对象，以企业、行业、乡镇（街道）、园区等为主阵地，充分履</w:t>
      </w:r>
    </w:p>
    <w:p>
      <w:pPr>
        <w:keepNext w:val="0"/>
        <w:keepLines w:val="0"/>
        <w:pageBreakBefore w:val="0"/>
        <w:widowControl/>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行维护职工合法权益的基本职责。组织对涉及职工利益重大问题的调查研究，以及劳动关系矛盾纠纷的协调处置和职工重大伤亡事故的调查处理。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6.拓展工会组织覆盖。适应人口流动、新兴群体发展等新情况，加强乡镇（街道）和园区工会建设以及对非公经济组织和社会组织的组织覆盖，加强工会组织建设，强化基层基础。</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拓展工会工作覆盖。积极探索开展网上职工工作，建设符合广大职工需求的网上职工之家。打造工会工作服务品牌，做实做强“四季帮扶”和“职工之家”、技能提升、法律援助、职工文化等品牌。创新会员发展、联系职工、开展活动的方式，健全完善工会工作效果评价制度，联系和引导职工服务类社会组织。</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积极参与社会治理。动员和组织广大职工参与社会治安综合治理、基层社区网格化管理、平安创建，协调化解矛盾纠纷和利益冲突，发挥维护社会和谐稳定的作用。按照法定程序承担县政府转移的社会管理服务职能，牵头做好全国、全市劳动模范和先进工作者的推荐和管理服务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9.发挥民主参与和社会监督作用。依照党的政策和法律法规，代表和组织职工参与国家和社会事务管理，参与企事业单位和机关的民主管理。指导基层单位建立平等协商、集体合同制度和监督保证机制。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研究工会自身改革和建设。负责机关和所属事业单位的干部队伍建设工作。负责工会经费的收、管、用和工会资产的管理。依法加强工会经费的审查监督，对下级工会及其有关单位的经费收支和资产管理进行审查。做好工会省际联络、区县交流有关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11.完成县委交办的其他任务。</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（二）机构设置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综合科。负责文电、信息、会务、接待、档案、后勤、统筹协调等机关日常运转工作；负责机关党群、机构编制、干部人事、安全保密、社会综合治理以及县委和市总工会安排的各项工作；负责县委党的群团工作联席会议、县政府县总工会联席会议制度有关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维权服务部。负责制定基层工会组织建设规划和制度，指导非公经济组织和新兴群体的建会、入会工作；负责劳动技能竞赛、经济技术创新、劳模管理服务、“五一”劳动奖推荐评选工作；负责职工劳动保护、民主管理、劳动争议调解、工会维权队伍建设工作；负责全县工会经费预、决算和县总工会机关行政经费管理，工会资产管理等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1.总体情况。2023年度收入总计405.76万元，支出总计</w:t>
      </w:r>
    </w:p>
    <w:p>
      <w:pPr>
        <w:keepNext w:val="0"/>
        <w:keepLines w:val="0"/>
        <w:pageBreakBefore w:val="0"/>
        <w:widowControl/>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405.76万元。收支较上年决算数增加66.92万元，增长19.75%，主要原因是新增在职人员基础性绩效奖、年度考核奖和退休人员健康休养费</w:t>
      </w:r>
      <w:r>
        <w:rPr>
          <w:rFonts w:hint="eastAsia" w:ascii="方正仿宋_GBK" w:hAnsi="方正仿宋_GBK" w:eastAsia="方正仿宋_GBK" w:cs="方正仿宋_GBK"/>
          <w:sz w:val="32"/>
          <w:szCs w:val="32"/>
          <w:lang w:eastAsia="zh-CN"/>
        </w:rPr>
        <w:t>和离退休干部死亡抚恤金</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2.收入情况。2023年度收入合计405.76万元，较上年决算数增加66.92万元，增长19.75%，主要原因是新增在职人员基础性绩效奖、年度考核奖和退休人员健康休养费</w:t>
      </w:r>
      <w:r>
        <w:rPr>
          <w:rFonts w:hint="eastAsia" w:ascii="方正仿宋_GBK" w:hAnsi="方正仿宋_GBK" w:eastAsia="方正仿宋_GBK" w:cs="方正仿宋_GBK"/>
          <w:sz w:val="32"/>
          <w:szCs w:val="32"/>
          <w:lang w:eastAsia="zh-CN"/>
        </w:rPr>
        <w:t>和离退休干部死亡抚恤金</w:t>
      </w:r>
      <w:r>
        <w:rPr>
          <w:rFonts w:hint="eastAsia" w:ascii="方正仿宋_GBK" w:hAnsi="方正仿宋_GBK" w:eastAsia="方正仿宋_GBK" w:cs="方正仿宋_GBK"/>
          <w:sz w:val="32"/>
          <w:szCs w:val="32"/>
        </w:rPr>
        <w:t>。其中：财政拨款收入405.76万元，占100.00%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3.支出情况。2023年度支出合计405.76万元，较上年决算数增加66.92万元，增长19.75%，主要原因是新增在职人员基础性绩效奖、年度考核奖和退休人员健康休养费</w:t>
      </w:r>
      <w:r>
        <w:rPr>
          <w:rFonts w:hint="eastAsia" w:ascii="方正仿宋_GBK" w:hAnsi="方正仿宋_GBK" w:eastAsia="方正仿宋_GBK" w:cs="方正仿宋_GBK"/>
          <w:sz w:val="32"/>
          <w:szCs w:val="32"/>
          <w:lang w:eastAsia="zh-CN"/>
        </w:rPr>
        <w:t>和离退休干部死亡抚恤金</w:t>
      </w:r>
      <w:r>
        <w:rPr>
          <w:rFonts w:hint="eastAsia" w:ascii="方正仿宋_GBK" w:hAnsi="方正仿宋_GBK" w:eastAsia="方正仿宋_GBK" w:cs="方正仿宋_GBK"/>
          <w:sz w:val="32"/>
          <w:szCs w:val="32"/>
        </w:rPr>
        <w:t>。其中：基本支出377.71万元，占93.09%；项目支出28.05万元，占6.91%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此外，结余分配0.00万元。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4.结转结余情况。2023年度年末结转和结余0.00万元</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2023年度财政拨款收、支总计405.76万元。与2022年相比，财政拨款收、支总计各增加66.92万元，增长19.75%。主要原因是新增在职人员基础性绩效奖、年度考核奖和退休人员健康休养费</w:t>
      </w:r>
      <w:r>
        <w:rPr>
          <w:rFonts w:hint="eastAsia" w:ascii="方正仿宋_GBK" w:hAnsi="方正仿宋_GBK" w:eastAsia="方正仿宋_GBK" w:cs="方正仿宋_GBK"/>
          <w:sz w:val="32"/>
          <w:szCs w:val="32"/>
          <w:lang w:eastAsia="zh-CN"/>
        </w:rPr>
        <w:t>和离退休干部死亡抚恤金</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1.收入情况。2023年度一般公共预算财政拨款收入405.76万元，较上年决算数增加66.92万元，增长19.75%。主要原因是新增在职人员基础性绩效奖、年度考核奖和退休人员健康休养费</w:t>
      </w:r>
      <w:r>
        <w:rPr>
          <w:rFonts w:hint="eastAsia" w:ascii="方正仿宋_GBK" w:hAnsi="方正仿宋_GBK" w:eastAsia="方正仿宋_GBK" w:cs="方正仿宋_GBK"/>
          <w:sz w:val="32"/>
          <w:szCs w:val="32"/>
          <w:lang w:eastAsia="zh-CN"/>
        </w:rPr>
        <w:t>和离退休干部死亡抚恤金</w:t>
      </w:r>
      <w:r>
        <w:rPr>
          <w:rFonts w:hint="eastAsia" w:ascii="方正仿宋_GBK" w:hAnsi="方正仿宋_GBK" w:eastAsia="方正仿宋_GBK" w:cs="方正仿宋_GBK"/>
          <w:sz w:val="32"/>
          <w:szCs w:val="32"/>
        </w:rPr>
        <w:t>。较年初预算数增加52.94万元，增长15.00%。主要原因是新增在职人员基础性绩效奖、年度考核奖和退休人员健康休养费</w:t>
      </w:r>
      <w:r>
        <w:rPr>
          <w:rFonts w:hint="eastAsia" w:ascii="方正仿宋_GBK" w:hAnsi="方正仿宋_GBK" w:eastAsia="方正仿宋_GBK" w:cs="方正仿宋_GBK"/>
          <w:sz w:val="32"/>
          <w:szCs w:val="32"/>
          <w:lang w:eastAsia="zh-CN"/>
        </w:rPr>
        <w:t>和离退休干部死亡抚恤金</w:t>
      </w:r>
      <w:r>
        <w:rPr>
          <w:rFonts w:hint="eastAsia" w:ascii="方正仿宋_GBK" w:hAnsi="方正仿宋_GBK" w:eastAsia="方正仿宋_GBK" w:cs="方正仿宋_GBK"/>
          <w:sz w:val="32"/>
          <w:szCs w:val="32"/>
        </w:rPr>
        <w:t>。此外，年初财政拨款结转和结余0.00万元。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2.支出情况。2023年度一般公共预算财政拨款支出405.76万元，较上年决算数增加66.92万元，增长19.75%。主要原因是新增在职人员基础性绩效奖、年度考核奖和退休人员健康休养费</w:t>
      </w:r>
      <w:r>
        <w:rPr>
          <w:rFonts w:hint="eastAsia" w:ascii="方正仿宋_GBK" w:hAnsi="方正仿宋_GBK" w:eastAsia="方正仿宋_GBK" w:cs="方正仿宋_GBK"/>
          <w:sz w:val="32"/>
          <w:szCs w:val="32"/>
          <w:lang w:eastAsia="zh-CN"/>
        </w:rPr>
        <w:t>和离退休干部死亡抚恤金</w:t>
      </w:r>
      <w:r>
        <w:rPr>
          <w:rFonts w:hint="eastAsia" w:ascii="方正仿宋_GBK" w:hAnsi="方正仿宋_GBK" w:eastAsia="方正仿宋_GBK" w:cs="方正仿宋_GBK"/>
          <w:sz w:val="32"/>
          <w:szCs w:val="32"/>
        </w:rPr>
        <w:t>。较年初预算数增加52.94万元，增长15.00%。主要原因是新增在职人员基础性绩效奖、年度考核奖和退休人员健康休养费</w:t>
      </w:r>
      <w:r>
        <w:rPr>
          <w:rFonts w:hint="eastAsia" w:ascii="方正仿宋_GBK" w:hAnsi="方正仿宋_GBK" w:eastAsia="方正仿宋_GBK" w:cs="方正仿宋_GBK"/>
          <w:sz w:val="32"/>
          <w:szCs w:val="32"/>
          <w:lang w:eastAsia="zh-CN"/>
        </w:rPr>
        <w:t>和离退休干部死亡抚恤金</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3.结转结余情况。2023年度年末一般公共预算财政拨款结转和结余0.00万元</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4.比较情况。本单位2023年度一般公共预算财政拨款支出主要用于以下几个方面：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（1）一般公共服务支出364.19万元，占89.76%，较年初预算数增加28.00万元，增长8.33%，主要原因是原因是新增在职人员基础性绩效奖、年度考核奖和退休人员健康休养费</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）社会保障与就业支出41.57万元，占10.24%，较年初预算数增加24.94万元，增长149.97%，主要原因是</w:t>
      </w:r>
      <w:r>
        <w:rPr>
          <w:rFonts w:hint="eastAsia" w:ascii="方正仿宋_GBK" w:hAnsi="方正仿宋_GBK" w:eastAsia="方正仿宋_GBK" w:cs="方正仿宋_GBK"/>
          <w:sz w:val="32"/>
          <w:szCs w:val="32"/>
          <w:lang w:eastAsia="zh-CN"/>
        </w:rPr>
        <w:t>社保缴费基数提高相关费用增加，新增离退休干部死亡抚恤金。</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2023年度一般公共财政拨款基本支出377.71万元。其中：人员经费225.18万元，较上年决算数增加9.56万元，增长4.43%，主要原因是</w:t>
      </w:r>
      <w:r>
        <w:rPr>
          <w:rFonts w:hint="eastAsia" w:ascii="方正仿宋_GBK" w:hAnsi="方正仿宋_GBK" w:eastAsia="方正仿宋_GBK" w:cs="方正仿宋_GBK"/>
          <w:sz w:val="32"/>
          <w:szCs w:val="32"/>
          <w:lang w:eastAsia="zh-CN"/>
        </w:rPr>
        <w:t>社保和公积金缴费基数增加，</w:t>
      </w:r>
      <w:r>
        <w:rPr>
          <w:rFonts w:hint="eastAsia" w:ascii="方正仿宋_GBK" w:hAnsi="方正仿宋_GBK" w:eastAsia="方正仿宋_GBK" w:cs="方正仿宋_GBK"/>
          <w:sz w:val="32"/>
          <w:szCs w:val="32"/>
        </w:rPr>
        <w:t>人员经费用途主要包括保障人员工资性支出、社保缴费、公积金缴费、年度考核奖、退休人员费用等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公用经费152.52万元，较上年决算数增加51.99万元，增长51.72%，主要原因是</w:t>
      </w:r>
      <w:r>
        <w:rPr>
          <w:rFonts w:hint="eastAsia" w:ascii="方正仿宋_GBK" w:hAnsi="方正仿宋_GBK" w:eastAsia="方正仿宋_GBK" w:cs="方正仿宋_GBK"/>
          <w:sz w:val="32"/>
          <w:szCs w:val="32"/>
          <w:lang w:eastAsia="zh-CN"/>
        </w:rPr>
        <w:t>按照上级主管部门要求，对收回的房屋进行了拆除还原处理，加大了对工会干部的培训力度等导致费用增加</w:t>
      </w:r>
      <w:r>
        <w:rPr>
          <w:rFonts w:hint="eastAsia" w:ascii="方正仿宋_GBK" w:hAnsi="方正仿宋_GBK" w:eastAsia="方正仿宋_GBK" w:cs="方正仿宋_GBK"/>
          <w:sz w:val="32"/>
          <w:szCs w:val="32"/>
        </w:rPr>
        <w:t>。公用经费用途主要包括办公费、水电费、邮电费、物业管理费、差旅费、维修维护费、租赁费、会议费、培训费、公务接待费、公务用车运行维护费、交通费等公用支出。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2023年度“三公”经费支出共计3.00万元，较年初预算数</w:t>
      </w:r>
    </w:p>
    <w:p>
      <w:pPr>
        <w:keepNext w:val="0"/>
        <w:keepLines w:val="0"/>
        <w:pageBreakBefore w:val="0"/>
        <w:widowControl/>
        <w:kinsoku/>
        <w:wordWrap/>
        <w:overflowPunct/>
        <w:topLinePunct w:val="0"/>
        <w:autoSpaceDE/>
        <w:autoSpaceDN/>
        <w:bidi w:val="0"/>
        <w:adjustRightInd/>
        <w:snapToGrid/>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无增减，主要原因是本单位继续认真贯彻落实中央八项规定精神，坚持厉行节约和过紧日子思想，严控“三公”经费支出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较上年支出数减少1.50万元，下降33.33%，主要原因</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rPr>
        <w:t>一认真贯彻落实中央八项规定精神，按照只减不增的要求从严控制“三公”经费，全年实际支出较预算和决算均有所下降。二强化公务接待支出管理，严格遵守公务接待开支范围和开支标准，严格控制陪餐人数，对应由接待对象承担的费用一律由接待对象自行支付，公务接待费大幅下降。三进一步规范因公出国（境）活动，今年未安排人员出国出访。</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年度未发生公务车购置费用支出。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w:t>
      </w:r>
      <w:r>
        <w:rPr>
          <w:rFonts w:hint="eastAsia" w:ascii="方正仿宋_GBK" w:hAnsi="方正仿宋_GBK" w:eastAsia="方正仿宋_GBK" w:cs="方正仿宋_GBK"/>
          <w:sz w:val="32"/>
          <w:szCs w:val="32"/>
          <w:lang w:eastAsia="zh-CN"/>
        </w:rPr>
        <w:t>未发生</w:t>
      </w:r>
      <w:r>
        <w:rPr>
          <w:rFonts w:hint="eastAsia" w:ascii="方正仿宋_GBK" w:hAnsi="方正仿宋_GBK" w:eastAsia="方正仿宋_GBK" w:cs="方正仿宋_GBK"/>
          <w:sz w:val="32"/>
          <w:szCs w:val="32"/>
        </w:rPr>
        <w:t>公务车运行维护费用。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公务接待费3.00万元，主要用于接待市总工会到我单位指导基层工会工作，各基层工会到县总工会开展各项工作。费用支出较年初预算数无增减，主要原因是是</w:t>
      </w:r>
      <w:r>
        <w:rPr>
          <w:rFonts w:hint="eastAsia" w:ascii="方正仿宋_GBK" w:hAnsi="方正仿宋_GBK" w:eastAsia="方正仿宋_GBK" w:cs="方正仿宋_GBK"/>
          <w:sz w:val="32"/>
          <w:szCs w:val="32"/>
          <w:lang w:eastAsia="zh-CN"/>
        </w:rPr>
        <w:t>严控</w:t>
      </w:r>
      <w:r>
        <w:rPr>
          <w:rFonts w:hint="eastAsia" w:ascii="方正仿宋_GBK" w:hAnsi="方正仿宋_GBK" w:eastAsia="方正仿宋_GBK" w:cs="方正仿宋_GBK"/>
          <w:sz w:val="32"/>
          <w:szCs w:val="32"/>
        </w:rPr>
        <w:t>公务接待支出管理</w:t>
      </w:r>
      <w:r>
        <w:rPr>
          <w:rFonts w:hint="eastAsia" w:ascii="方正仿宋_GBK" w:hAnsi="方正仿宋_GBK" w:eastAsia="方正仿宋_GBK" w:cs="方正仿宋_GBK"/>
          <w:sz w:val="32"/>
          <w:szCs w:val="32"/>
          <w:lang w:eastAsia="zh-CN"/>
        </w:rPr>
        <w:t>中</w:t>
      </w:r>
      <w:r>
        <w:rPr>
          <w:rFonts w:hint="eastAsia" w:ascii="方正仿宋_GBK" w:hAnsi="方正仿宋_GBK" w:eastAsia="方正仿宋_GBK" w:cs="方正仿宋_GBK"/>
          <w:sz w:val="32"/>
          <w:szCs w:val="32"/>
        </w:rPr>
        <w:t>，严格遵守公务接待开支范围和开支标准，严格控制陪餐人数，对应由接待对象承担的费用一律由接待对象自行支付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较上年支出数减少1.50万元，下降33.33%，主要原因是</w:t>
      </w:r>
      <w:r>
        <w:rPr>
          <w:rFonts w:hint="eastAsia" w:ascii="方正仿宋_GBK" w:hAnsi="方正仿宋_GBK" w:eastAsia="方正仿宋_GBK" w:cs="方正仿宋_GBK"/>
          <w:sz w:val="32"/>
          <w:szCs w:val="32"/>
          <w:lang w:eastAsia="zh-CN"/>
        </w:rPr>
        <w:t>严控</w:t>
      </w:r>
      <w:r>
        <w:rPr>
          <w:rFonts w:hint="eastAsia" w:ascii="方正仿宋_GBK" w:hAnsi="方正仿宋_GBK" w:eastAsia="方正仿宋_GBK" w:cs="方正仿宋_GBK"/>
          <w:sz w:val="32"/>
          <w:szCs w:val="32"/>
        </w:rPr>
        <w:t>公务接待支出管理，严格遵守公务接待开支范围和开支标准，严格控制陪餐人数，对应由接待对象承担的费用一律由接待对象自行支付，公务</w:t>
      </w:r>
    </w:p>
    <w:p>
      <w:pPr>
        <w:keepNext w:val="0"/>
        <w:keepLines w:val="0"/>
        <w:pageBreakBefore w:val="0"/>
        <w:widowControl/>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接待费保持下降。</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单位因公出国（境）共计0个团组，0人；公务用车购置0辆，公务车保有量为0辆；国内公务接待186批次828人，其中：国内外事接待0批次，0人；国（境）外公务接待0批次，0人。2023年本单位人均接待费36.23元，车均购置费0万元，车均维护费0万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xml:space="preserve"> （一）财政拨款会议费和培训费情况说明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本年度会议费支出5.00万元，较上年决算数无增减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本年度培训费支出3.00万元，较上年决算数减少5.00万元，下降62.50%，主要原因是</w:t>
      </w:r>
      <w:r>
        <w:rPr>
          <w:rFonts w:hint="eastAsia" w:ascii="方正仿宋_GBK" w:hAnsi="方正仿宋_GBK" w:eastAsia="方正仿宋_GBK" w:cs="方正仿宋_GBK"/>
          <w:sz w:val="32"/>
          <w:szCs w:val="32"/>
          <w:lang w:eastAsia="zh-CN"/>
        </w:rPr>
        <w:t>本年度未召开大型会议。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2023年度本单位机关运行经费支出152.52万元，机关运行经费主要用于开支办公费</w:t>
      </w:r>
      <w:r>
        <w:rPr>
          <w:rFonts w:hint="eastAsia" w:ascii="方正仿宋_GBK" w:hAnsi="方正仿宋_GBK" w:eastAsia="方正仿宋_GBK" w:cs="方正仿宋_GBK"/>
          <w:sz w:val="32"/>
          <w:szCs w:val="32"/>
          <w:lang w:val="en-US" w:eastAsia="zh-CN"/>
        </w:rPr>
        <w:t>6.45万元、印刷费9.05万元、咨询费5万元、手续费0.5万元、水费0.2万元、电费1.8万元、邮电费6万元、差旅费5万元、维护费49.95万元、租赁费15万元、会议费5万元、培训费3万元、公务接待费3万元、劳务费15万元、委托业务费6.7万元、工会经费20.34万元、其他商品和服务支出0.53万元。</w:t>
      </w:r>
      <w:r>
        <w:rPr>
          <w:rFonts w:hint="eastAsia" w:ascii="方正仿宋_GBK" w:hAnsi="方正仿宋_GBK" w:eastAsia="方正仿宋_GBK" w:cs="方正仿宋_GBK"/>
          <w:sz w:val="32"/>
          <w:szCs w:val="32"/>
        </w:rPr>
        <w:t>机关运行经费较上年支出数增加51.99万元，增长51.72%，主要原因是</w:t>
      </w:r>
      <w:r>
        <w:rPr>
          <w:rFonts w:hint="eastAsia" w:ascii="方正仿宋_GBK" w:hAnsi="方正仿宋_GBK" w:eastAsia="方正仿宋_GBK" w:cs="方正仿宋_GBK"/>
          <w:sz w:val="32"/>
          <w:szCs w:val="32"/>
          <w:lang w:eastAsia="zh-CN"/>
        </w:rPr>
        <w:t>维修费、工会经费等增加。</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因根据《工会法》规定，工会资产不属于国有资产的原因，我单位资产未纳入部门决算报表。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我单位未发生政府采购事项，无相关经费支出。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单位自评情况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sectPr>
          <w:footerReference r:id="rId3" w:type="default"/>
          <w:pgSz w:w="11915" w:h="16840"/>
          <w:pgMar w:top="2098" w:right="1474" w:bottom="1474" w:left="1587" w:header="851" w:footer="992" w:gutter="0"/>
          <w:pgNumType w:fmt="decimal"/>
          <w:cols w:space="720" w:num="1"/>
          <w:docGrid w:type="lines" w:linePitch="312" w:charSpace="0"/>
        </w:sectPr>
      </w:pPr>
      <w:r>
        <w:rPr>
          <w:rFonts w:hint="eastAsia" w:ascii="方正仿宋_GBK" w:hAnsi="方正仿宋_GBK" w:eastAsia="方正仿宋_GBK" w:cs="方正仿宋_GBK"/>
          <w:sz w:val="32"/>
          <w:szCs w:val="32"/>
        </w:rPr>
        <w:t>根据预算绩效管理要求，我单位对部门整体</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个二级项目开展了绩效自评，涉及财政拨款项目支出资金</w:t>
      </w:r>
      <w:r>
        <w:rPr>
          <w:rFonts w:hint="eastAsia" w:ascii="方正仿宋_GBK" w:hAnsi="方正仿宋_GBK" w:eastAsia="方正仿宋_GBK" w:cs="方正仿宋_GBK"/>
          <w:sz w:val="32"/>
          <w:szCs w:val="32"/>
          <w:lang w:val="en-US" w:eastAsia="zh-CN"/>
        </w:rPr>
        <w:t>28.05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tbl>
      <w:tblPr>
        <w:tblStyle w:val="7"/>
        <w:tblW w:w="13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9"/>
        <w:gridCol w:w="945"/>
        <w:gridCol w:w="1036"/>
        <w:gridCol w:w="1210"/>
        <w:gridCol w:w="1283"/>
        <w:gridCol w:w="1343"/>
        <w:gridCol w:w="1328"/>
        <w:gridCol w:w="1302"/>
        <w:gridCol w:w="944"/>
        <w:gridCol w:w="1328"/>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default"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2022年一线户外人员高温补贴</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50023823T000003683270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018-巫溪县总工会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000000"/>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2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005-行财科</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谭丽华</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15123510564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808080"/>
                <w:sz w:val="28"/>
                <w:szCs w:val="28"/>
                <w:u w:val="none"/>
              </w:rPr>
            </w:pPr>
            <w:r>
              <w:rPr>
                <w:rFonts w:hint="default"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036"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 </w:t>
            </w:r>
          </w:p>
        </w:tc>
        <w:tc>
          <w:tcPr>
            <w:tcW w:w="2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27.4545万元 </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27.4545万元 </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036"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 </w:t>
            </w:r>
          </w:p>
        </w:tc>
        <w:tc>
          <w:tcPr>
            <w:tcW w:w="2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27.4545万元 </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27.4545万元 </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036"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 </w:t>
            </w:r>
          </w:p>
        </w:tc>
        <w:tc>
          <w:tcPr>
            <w:tcW w:w="2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27.4545万元 </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27.4545万元 </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808080"/>
                <w:sz w:val="28"/>
                <w:szCs w:val="28"/>
                <w:u w:val="none"/>
              </w:rPr>
            </w:pPr>
            <w:r>
              <w:rPr>
                <w:rFonts w:hint="default"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42" w:firstLineChars="20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5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42" w:firstLineChars="20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42" w:firstLineChars="20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对我县一线户外人员进行高温慰问</w:t>
            </w:r>
          </w:p>
        </w:tc>
        <w:tc>
          <w:tcPr>
            <w:tcW w:w="534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对我县一线户外人员进行高温慰问</w:t>
            </w:r>
          </w:p>
        </w:tc>
        <w:tc>
          <w:tcPr>
            <w:tcW w:w="369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已完成我县一线户外人员的高温慰问工作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808080"/>
                <w:sz w:val="28"/>
                <w:szCs w:val="28"/>
                <w:u w:val="none"/>
              </w:rPr>
            </w:pPr>
            <w:r>
              <w:rPr>
                <w:rFonts w:hint="default"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慰问人数达到实现全覆盖</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99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40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40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对全县的一线户外人员慰问实现了全覆盖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关心关爱一线工人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定性</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40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40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将慰问金发放到位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一线工人的满意度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定性</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0"/>
                <w:sz w:val="22"/>
                <w:szCs w:val="22"/>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p>
        </w:tc>
      </w:tr>
    </w:tbl>
    <w:tbl>
      <w:tblPr>
        <w:tblStyle w:val="7"/>
        <w:tblpPr w:leftFromText="180" w:rightFromText="180" w:vertAnchor="text" w:horzAnchor="page" w:tblpX="1568" w:tblpY="366"/>
        <w:tblOverlap w:val="never"/>
        <w:tblW w:w="141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2"/>
        <w:gridCol w:w="1276"/>
        <w:gridCol w:w="973"/>
        <w:gridCol w:w="1529"/>
        <w:gridCol w:w="1449"/>
        <w:gridCol w:w="1141"/>
        <w:gridCol w:w="1350"/>
        <w:gridCol w:w="1028"/>
        <w:gridCol w:w="1195"/>
        <w:gridCol w:w="1195"/>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4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微软雅黑" w:hAnsi="微软雅黑" w:eastAsia="微软雅黑" w:cs="微软雅黑"/>
                <w:b/>
                <w:bCs/>
                <w:i w:val="0"/>
                <w:iCs w:val="0"/>
                <w:color w:val="000000"/>
                <w:sz w:val="40"/>
                <w:szCs w:val="40"/>
                <w:u w:val="none"/>
              </w:rPr>
            </w:pPr>
            <w:r>
              <w:rPr>
                <w:rFonts w:hint="default"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2023年全国劳模春节慰问金</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50023823T000003685759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100.00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018-巫溪县总工会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000000"/>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005-行财科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谭丽华</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15123510564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微软雅黑" w:hAnsi="微软雅黑" w:eastAsia="微软雅黑" w:cs="微软雅黑"/>
                <w:b/>
                <w:bCs/>
                <w:i w:val="0"/>
                <w:iCs w:val="0"/>
                <w:color w:val="808080"/>
                <w:sz w:val="28"/>
                <w:szCs w:val="28"/>
                <w:u w:val="none"/>
              </w:rPr>
            </w:pPr>
            <w:r>
              <w:rPr>
                <w:rFonts w:hint="default"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2"/>
                <w:szCs w:val="22"/>
                <w:u w:val="none"/>
              </w:rPr>
            </w:pP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 </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0.6 万元</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0.6 万元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4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 </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0.6 万元</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0.6 万元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100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10.00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 </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0.6 万元</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0.6 万元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lang w:val="en-US" w:eastAsia="zh-CN"/>
              </w:rPr>
              <w:t>100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微软雅黑" w:hAnsi="微软雅黑" w:eastAsia="微软雅黑" w:cs="微软雅黑"/>
                <w:b/>
                <w:bCs/>
                <w:i w:val="0"/>
                <w:iCs w:val="0"/>
                <w:color w:val="808080"/>
                <w:sz w:val="28"/>
                <w:szCs w:val="28"/>
                <w:u w:val="none"/>
              </w:rPr>
            </w:pPr>
            <w:r>
              <w:rPr>
                <w:rFonts w:hint="default"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9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2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对我县的全国劳模开展春节慰问</w:t>
            </w:r>
          </w:p>
        </w:tc>
        <w:tc>
          <w:tcPr>
            <w:tcW w:w="496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对我县的全国劳模开展春节慰问</w:t>
            </w:r>
          </w:p>
        </w:tc>
        <w:tc>
          <w:tcPr>
            <w:tcW w:w="392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对我县的6名全国劳模在春节前夕开展慰问活动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微软雅黑" w:hAnsi="微软雅黑" w:eastAsia="微软雅黑" w:cs="微软雅黑"/>
                <w:b/>
                <w:bCs/>
                <w:i w:val="0"/>
                <w:iCs w:val="0"/>
                <w:color w:val="808080"/>
                <w:sz w:val="28"/>
                <w:szCs w:val="28"/>
                <w:u w:val="none"/>
              </w:rPr>
            </w:pPr>
            <w:r>
              <w:rPr>
                <w:rFonts w:hint="default"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对我县的全国劳模慰问实现全覆盖</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50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50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对我县的6名全国劳模在春节前夕进行了慰问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号召全社会学习劳模关爱劳模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30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30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号召全社会学劳模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劳模的满意度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99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劳模对县总工会的关心关爱表示肯定</w:t>
            </w:r>
          </w:p>
        </w:tc>
      </w:tr>
    </w:tbl>
    <w:p>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lang w:eastAsia="zh-CN"/>
        </w:rPr>
        <w:sectPr>
          <w:pgSz w:w="16840" w:h="11915" w:orient="landscape"/>
          <w:pgMar w:top="2098" w:right="1474" w:bottom="1474" w:left="1587" w:header="851" w:footer="992"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财政局委托第三方对我单位2022年部门整体开展了绩效评价，评价得分</w:t>
      </w:r>
      <w:r>
        <w:rPr>
          <w:rFonts w:hint="eastAsia" w:ascii="方正仿宋_GBK" w:hAnsi="方正仿宋_GBK" w:eastAsia="方正仿宋_GBK" w:cs="方正仿宋_GBK"/>
          <w:sz w:val="32"/>
          <w:szCs w:val="32"/>
          <w:lang w:val="en-US" w:eastAsia="zh-CN"/>
        </w:rPr>
        <w:t>84.96</w:t>
      </w:r>
      <w:r>
        <w:rPr>
          <w:rFonts w:hint="eastAsia" w:ascii="方正仿宋_GBK" w:hAnsi="方正仿宋_GBK" w:eastAsia="方正仿宋_GBK" w:cs="方正仿宋_GBK"/>
          <w:sz w:val="32"/>
          <w:szCs w:val="32"/>
        </w:rPr>
        <w:t>分，评价等次为</w:t>
      </w:r>
      <w:r>
        <w:rPr>
          <w:rFonts w:hint="eastAsia" w:ascii="方正仿宋_GBK" w:hAnsi="方正仿宋_GBK" w:eastAsia="方正仿宋_GBK" w:cs="方正仿宋_GBK"/>
          <w:sz w:val="32"/>
          <w:szCs w:val="32"/>
          <w:lang w:eastAsia="zh-CN"/>
        </w:rPr>
        <w:t>良</w:t>
      </w:r>
      <w:r>
        <w:rPr>
          <w:rFonts w:hint="eastAsia" w:ascii="方正仿宋_GBK" w:hAnsi="方正仿宋_GBK" w:eastAsia="方正仿宋_GBK" w:cs="方正仿宋_GBK"/>
          <w:sz w:val="32"/>
          <w:szCs w:val="32"/>
        </w:rPr>
        <w:t>，绩效评价发现了绩效目标有待优化等主要问题，提出明确项目绩效指标，提高绩效指标的合理性等下一步工作建议</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w:t>
      </w:r>
    </w:p>
    <w:p>
      <w:pPr>
        <w:keepNext w:val="0"/>
        <w:keepLines w:val="0"/>
        <w:pageBreakBefore w:val="0"/>
        <w:widowControl/>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行政单位收到的财政专户管理资金反映在本项内。</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：指用一般公共预算财政拨款安排</w:t>
      </w:r>
    </w:p>
    <w:p>
      <w:pPr>
        <w:keepNext w:val="0"/>
        <w:keepLines w:val="0"/>
        <w:pageBreakBefore w:val="0"/>
        <w:widowControl/>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w w:val="90"/>
          <w:sz w:val="32"/>
          <w:szCs w:val="32"/>
          <w:lang w:val="en-US"/>
        </w:rPr>
      </w:pPr>
      <w:r>
        <w:rPr>
          <w:rFonts w:hint="eastAsia" w:ascii="方正仿宋_GBK" w:hAnsi="方正仿宋_GBK" w:eastAsia="方正仿宋_GBK" w:cs="方正仿宋_GBK"/>
          <w:sz w:val="32"/>
          <w:szCs w:val="32"/>
        </w:rPr>
        <w:t>本单位决算公开信息反馈和联系方式：</w:t>
      </w:r>
      <w:r>
        <w:rPr>
          <w:rFonts w:hint="eastAsia" w:ascii="方正仿宋_GBK" w:hAnsi="方正仿宋_GBK" w:eastAsia="方正仿宋_GBK" w:cs="方正仿宋_GBK"/>
          <w:w w:val="90"/>
          <w:sz w:val="32"/>
          <w:szCs w:val="32"/>
          <w:lang w:eastAsia="zh-CN"/>
        </w:rPr>
        <w:t>谭丽华</w:t>
      </w:r>
      <w:r>
        <w:rPr>
          <w:rFonts w:hint="eastAsia" w:ascii="方正仿宋_GBK" w:hAnsi="方正仿宋_GBK" w:eastAsia="方正仿宋_GBK" w:cs="方正仿宋_GBK"/>
          <w:w w:val="90"/>
          <w:sz w:val="32"/>
          <w:szCs w:val="32"/>
          <w:lang w:val="en-US" w:eastAsia="zh-CN"/>
        </w:rPr>
        <w:t xml:space="preserve"> 023-51522916 </w:t>
      </w:r>
    </w:p>
    <w:p>
      <w:pPr>
        <w:keepNext w:val="0"/>
        <w:keepLines w:val="0"/>
        <w:pageBreakBefore w:val="0"/>
        <w:widowControl/>
        <w:kinsoku/>
        <w:wordWrap/>
        <w:overflowPunct/>
        <w:topLinePunct w:val="0"/>
        <w:autoSpaceDE/>
        <w:autoSpaceDN/>
        <w:bidi w:val="0"/>
        <w:adjustRightInd/>
        <w:snapToGrid/>
        <w:ind w:firstLine="576" w:firstLineChars="200"/>
        <w:textAlignment w:val="auto"/>
        <w:rPr>
          <w:rFonts w:hint="eastAsia" w:ascii="方正仿宋_GBK" w:hAnsi="方正仿宋_GBK" w:eastAsia="方正仿宋_GBK" w:cs="方正仿宋_GBK"/>
          <w:w w:val="90"/>
          <w:sz w:val="32"/>
          <w:szCs w:val="32"/>
          <w:lang w:eastAsia="zh-CN"/>
        </w:rPr>
        <w:sectPr>
          <w:pgSz w:w="11915" w:h="16840"/>
          <w:pgMar w:top="2098" w:right="1474" w:bottom="1474" w:left="1587" w:header="851" w:footer="992" w:gutter="0"/>
          <w:pgNumType w:fmt="decimal"/>
          <w:cols w:space="720" w:num="1"/>
          <w:docGrid w:type="lines" w:linePitch="312" w:charSpace="0"/>
        </w:sectPr>
      </w:pPr>
    </w:p>
    <w:p>
      <w:pPr>
        <w:rPr>
          <w:rFonts w:hint="default" w:cs="宋体"/>
          <w:sz w:val="21"/>
          <w:szCs w:val="21"/>
        </w:rPr>
      </w:pPr>
    </w:p>
    <w:tbl>
      <w:tblPr>
        <w:tblStyle w:val="7"/>
        <w:tblW w:w="4734" w:type="pct"/>
        <w:tblInd w:w="0" w:type="dxa"/>
        <w:tblLayout w:type="autofit"/>
        <w:tblCellMar>
          <w:top w:w="0" w:type="dxa"/>
          <w:left w:w="0" w:type="dxa"/>
          <w:bottom w:w="0" w:type="dxa"/>
          <w:right w:w="0" w:type="dxa"/>
        </w:tblCellMar>
      </w:tblPr>
      <w:tblGrid>
        <w:gridCol w:w="5119"/>
        <w:gridCol w:w="2021"/>
        <w:gridCol w:w="4808"/>
        <w:gridCol w:w="261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75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65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89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452"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重庆市巫溪县总工会</w:t>
            </w:r>
          </w:p>
        </w:tc>
        <w:tc>
          <w:tcPr>
            <w:tcW w:w="165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89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4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47"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9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89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405.76</w:t>
            </w: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364.19</w:t>
            </w: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93"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41.57</w:t>
            </w: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405.76</w:t>
            </w: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405.76</w:t>
            </w: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8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89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7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405.76</w:t>
            </w:r>
            <w:r>
              <w:rPr>
                <w:color w:val="000000"/>
                <w:sz w:val="20"/>
              </w:rPr>
              <w:t xml:space="preserve"> </w:t>
            </w:r>
          </w:p>
        </w:tc>
        <w:tc>
          <w:tcPr>
            <w:tcW w:w="1651"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405.76</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761"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978"/>
        <w:gridCol w:w="1189"/>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08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重庆市巫溪县总工会</w:t>
            </w: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208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66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81"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82"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6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405.76</w:t>
            </w:r>
            <w:r>
              <w:rPr>
                <w:b/>
                <w:color w:val="000000"/>
                <w:sz w:val="20"/>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405.76</w:t>
            </w:r>
            <w:r>
              <w:rPr>
                <w:b/>
                <w:color w:val="000000"/>
                <w:sz w:val="20"/>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364.19</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364.19</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364.19</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364.19</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336.01</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336.01</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28.05</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28.05</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41.57</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41.57</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18.97</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18.97</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18.97</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18.97</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22.60</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22.60</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22.60</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22.60</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4730" w:type="pct"/>
        <w:tblInd w:w="0" w:type="dxa"/>
        <w:tblLayout w:type="autofit"/>
        <w:tblCellMar>
          <w:top w:w="0" w:type="dxa"/>
          <w:left w:w="0" w:type="dxa"/>
          <w:bottom w:w="0" w:type="dxa"/>
          <w:right w:w="0" w:type="dxa"/>
        </w:tblCellMar>
      </w:tblPr>
      <w:tblGrid>
        <w:gridCol w:w="1798"/>
        <w:gridCol w:w="3355"/>
        <w:gridCol w:w="1699"/>
        <w:gridCol w:w="1699"/>
        <w:gridCol w:w="1699"/>
        <w:gridCol w:w="1682"/>
        <w:gridCol w:w="1327"/>
        <w:gridCol w:w="128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35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重庆市巫溪县总工会 </w:t>
            </w: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35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77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618"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3"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1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53"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1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53"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1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53"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77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405.76</w:t>
            </w:r>
            <w:r>
              <w:rPr>
                <w:b/>
                <w:color w:val="000000"/>
                <w:sz w:val="20"/>
              </w:rPr>
              <w:t xml:space="preserve"> </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377.71</w:t>
            </w:r>
            <w:r>
              <w:rPr>
                <w:b/>
                <w:color w:val="000000"/>
                <w:sz w:val="20"/>
              </w:rPr>
              <w:t xml:space="preserve"> </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28.05</w:t>
            </w:r>
            <w:r>
              <w:rPr>
                <w:b/>
                <w:color w:val="000000"/>
                <w:sz w:val="20"/>
              </w:rPr>
              <w:t xml:space="preserve"> </w:t>
            </w:r>
          </w:p>
        </w:tc>
        <w:tc>
          <w:tcPr>
            <w:tcW w:w="5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364.19</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336.14</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28.05</w:t>
            </w:r>
            <w:r>
              <w:rPr>
                <w:b/>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364.19</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336.14</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28.05</w:t>
            </w:r>
            <w:r>
              <w:rPr>
                <w:b/>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336.01</w:t>
            </w: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336.01</w:t>
            </w: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28.05</w:t>
            </w: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28.05</w:t>
            </w:r>
            <w:r>
              <w:rPr>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41.57</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41.57</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18.97</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18.97</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18.97</w:t>
            </w: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18.97</w:t>
            </w: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22.60</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22.60</w:t>
            </w:r>
            <w:r>
              <w:rPr>
                <w:b/>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22.60</w:t>
            </w: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22.60</w:t>
            </w:r>
            <w:r>
              <w:rPr>
                <w:color w:val="000000"/>
                <w:sz w:val="20"/>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636" w:type="pct"/>
        <w:tblInd w:w="0" w:type="dxa"/>
        <w:tblLayout w:type="autofit"/>
        <w:tblCellMar>
          <w:top w:w="0" w:type="dxa"/>
          <w:left w:w="0" w:type="dxa"/>
          <w:bottom w:w="0" w:type="dxa"/>
          <w:right w:w="0" w:type="dxa"/>
        </w:tblCellMar>
      </w:tblPr>
      <w:tblGrid>
        <w:gridCol w:w="2976"/>
        <w:gridCol w:w="1525"/>
        <w:gridCol w:w="3191"/>
        <w:gridCol w:w="1700"/>
        <w:gridCol w:w="1700"/>
        <w:gridCol w:w="1700"/>
        <w:gridCol w:w="146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98"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重庆市巫溪县总工会</w:t>
            </w: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98"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7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2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1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01"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1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405.76</w:t>
            </w:r>
            <w:r>
              <w:rPr>
                <w:color w:val="000000"/>
                <w:sz w:val="18"/>
              </w:rPr>
              <w:t xml:space="preserve"> </w:t>
            </w: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364.19</w:t>
            </w: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364.19</w:t>
            </w: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41.57</w:t>
            </w: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41.57</w:t>
            </w: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405.76</w:t>
            </w:r>
            <w:r>
              <w:rPr>
                <w:color w:val="000000"/>
                <w:sz w:val="18"/>
              </w:rPr>
              <w:t xml:space="preserve"> </w:t>
            </w: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405.76</w:t>
            </w: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405.76</w:t>
            </w: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1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405.76</w:t>
            </w:r>
            <w:r>
              <w:rPr>
                <w:color w:val="000000"/>
                <w:sz w:val="18"/>
              </w:rPr>
              <w:t xml:space="preserve"> </w:t>
            </w:r>
          </w:p>
        </w:tc>
        <w:tc>
          <w:tcPr>
            <w:tcW w:w="11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405.76</w:t>
            </w: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405.76</w:t>
            </w:r>
            <w:r>
              <w:rPr>
                <w:color w:val="000000"/>
                <w:sz w:val="18"/>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51" w:type="pct"/>
        <w:tblInd w:w="0" w:type="dxa"/>
        <w:tblLayout w:type="autofit"/>
        <w:tblCellMar>
          <w:top w:w="0" w:type="dxa"/>
          <w:left w:w="0" w:type="dxa"/>
          <w:bottom w:w="0" w:type="dxa"/>
          <w:right w:w="0" w:type="dxa"/>
        </w:tblCellMar>
      </w:tblPr>
      <w:tblGrid>
        <w:gridCol w:w="1855"/>
        <w:gridCol w:w="3548"/>
        <w:gridCol w:w="3320"/>
        <w:gridCol w:w="3317"/>
        <w:gridCol w:w="257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重庆市巫溪县总工会</w:t>
            </w:r>
          </w:p>
        </w:tc>
        <w:tc>
          <w:tcPr>
            <w:tcW w:w="11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7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7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84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150"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3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3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3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3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49"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405.76</w:t>
            </w:r>
            <w:r>
              <w:rPr>
                <w:b/>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377.71</w:t>
            </w:r>
            <w:r>
              <w:rPr>
                <w:b/>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28.05</w:t>
            </w:r>
            <w:r>
              <w:rPr>
                <w:b/>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364.19</w:t>
            </w:r>
            <w:r>
              <w:rPr>
                <w:b/>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336.14</w:t>
            </w:r>
            <w:r>
              <w:rPr>
                <w:b/>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28.05</w:t>
            </w:r>
            <w:r>
              <w:rPr>
                <w:b/>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364.19</w:t>
            </w:r>
            <w:r>
              <w:rPr>
                <w:b/>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336.14</w:t>
            </w:r>
            <w:r>
              <w:rPr>
                <w:b/>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28.05</w:t>
            </w:r>
            <w:r>
              <w:rPr>
                <w:b/>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336.01</w:t>
            </w:r>
            <w:r>
              <w:rPr>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336.01</w:t>
            </w:r>
            <w:r>
              <w:rPr>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0.13</w:t>
            </w:r>
            <w:r>
              <w:rPr>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0.13</w:t>
            </w:r>
            <w:r>
              <w:rPr>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28.05</w:t>
            </w:r>
            <w:r>
              <w:rPr>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28.05</w:t>
            </w:r>
            <w:r>
              <w:rPr>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41.57</w:t>
            </w:r>
            <w:r>
              <w:rPr>
                <w:b/>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41.57</w:t>
            </w:r>
            <w:r>
              <w:rPr>
                <w:b/>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18.97</w:t>
            </w:r>
            <w:r>
              <w:rPr>
                <w:b/>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18.97</w:t>
            </w:r>
            <w:r>
              <w:rPr>
                <w:b/>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18.97</w:t>
            </w:r>
            <w:r>
              <w:rPr>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18.97</w:t>
            </w:r>
            <w:r>
              <w:rPr>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22.60</w:t>
            </w:r>
            <w:r>
              <w:rPr>
                <w:b/>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22.60</w:t>
            </w:r>
            <w:r>
              <w:rPr>
                <w:b/>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22.60</w:t>
            </w:r>
            <w:r>
              <w:rPr>
                <w:color w:val="000000"/>
                <w:sz w:val="20"/>
              </w:rPr>
              <w:t xml:space="preserve"> </w:t>
            </w:r>
          </w:p>
        </w:tc>
        <w:tc>
          <w:tcPr>
            <w:tcW w:w="11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22.60</w:t>
            </w:r>
            <w:r>
              <w:rPr>
                <w:color w:val="000000"/>
                <w:sz w:val="20"/>
              </w:rPr>
              <w:t xml:space="preserve"> </w:t>
            </w:r>
          </w:p>
        </w:tc>
        <w:tc>
          <w:tcPr>
            <w:tcW w:w="8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775"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21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91"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重庆市巫溪县总工会</w:t>
            </w:r>
          </w:p>
        </w:tc>
        <w:tc>
          <w:tcPr>
            <w:tcW w:w="6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91"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0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9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0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3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0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0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3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6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6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20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184.15</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152.52</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46.30</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6.45</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25.05</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9.05</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35.83</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22.69</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11.34</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39.60</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49.95</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41.03</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22.60</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20.34</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17.23</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3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6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225.18</w:t>
            </w:r>
            <w:r>
              <w:rPr>
                <w:color w:val="000000"/>
                <w:sz w:val="18"/>
              </w:rPr>
              <w:t xml:space="preserve"> </w:t>
            </w:r>
          </w:p>
        </w:tc>
        <w:tc>
          <w:tcPr>
            <w:tcW w:w="297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34" w:type="pct"/>
        <w:tblInd w:w="0" w:type="dxa"/>
        <w:tblLayout w:type="autofit"/>
        <w:tblCellMar>
          <w:top w:w="0" w:type="dxa"/>
          <w:left w:w="0" w:type="dxa"/>
          <w:bottom w:w="0" w:type="dxa"/>
          <w:right w:w="0" w:type="dxa"/>
        </w:tblCellMar>
      </w:tblPr>
      <w:tblGrid>
        <w:gridCol w:w="1843"/>
        <w:gridCol w:w="3090"/>
        <w:gridCol w:w="1706"/>
        <w:gridCol w:w="1706"/>
        <w:gridCol w:w="1706"/>
        <w:gridCol w:w="1706"/>
        <w:gridCol w:w="1264"/>
        <w:gridCol w:w="15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28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重庆市巫溪县总工会</w:t>
            </w: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28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94"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86"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0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3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6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3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94"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4692" w:type="pct"/>
        <w:tblInd w:w="0" w:type="dxa"/>
        <w:tblLayout w:type="autofit"/>
        <w:tblCellMar>
          <w:top w:w="0" w:type="dxa"/>
          <w:left w:w="0" w:type="dxa"/>
          <w:bottom w:w="0" w:type="dxa"/>
          <w:right w:w="0" w:type="dxa"/>
        </w:tblCellMar>
      </w:tblPr>
      <w:tblGrid>
        <w:gridCol w:w="1882"/>
        <w:gridCol w:w="3059"/>
        <w:gridCol w:w="3276"/>
        <w:gridCol w:w="199"/>
        <w:gridCol w:w="3475"/>
        <w:gridCol w:w="75"/>
        <w:gridCol w:w="246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84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重庆市巫溪县总工会</w:t>
            </w:r>
          </w:p>
        </w:tc>
        <w:tc>
          <w:tcPr>
            <w:tcW w:w="1299"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5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84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5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712"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287"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204"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0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79"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4"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79"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4"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79"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4"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0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79"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712"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0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87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26" w:type="pct"/>
        <w:tblInd w:w="0" w:type="dxa"/>
        <w:tblLayout w:type="fixed"/>
        <w:tblCellMar>
          <w:top w:w="0" w:type="dxa"/>
          <w:left w:w="170" w:type="dxa"/>
          <w:bottom w:w="0" w:type="dxa"/>
          <w:right w:w="170" w:type="dxa"/>
        </w:tblCellMar>
      </w:tblPr>
      <w:tblGrid>
        <w:gridCol w:w="4041"/>
        <w:gridCol w:w="2166"/>
        <w:gridCol w:w="2115"/>
        <w:gridCol w:w="4524"/>
        <w:gridCol w:w="1382"/>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420"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61"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4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89"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48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181"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重庆市巫溪县总工会</w:t>
            </w:r>
          </w:p>
        </w:tc>
        <w:tc>
          <w:tcPr>
            <w:tcW w:w="74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8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48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6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4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48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152.52</w:t>
            </w: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152.52</w:t>
            </w: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186</w:t>
            </w: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828</w:t>
            </w: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420"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42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w:t>
      </w:r>
    </w:p>
    <w:p>
      <w:pPr>
        <w:rPr>
          <w:rFonts w:hint="default" w:cs="宋体"/>
          <w:sz w:val="21"/>
          <w:szCs w:val="21"/>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34353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outside;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tupU9IAAAADAQAADwAAAAAA&#10;AAABACAAAAAiAAAAZHJzL2Rvd25yZXYueG1sUEsBAhQAFAAAAAgAh07iQHshTmXgAQAAswMAAA4A&#10;AAAAAAAAAQAgAAAAIQEAAGRycy9lMm9Eb2MueG1sUEsFBgAAAAAGAAYAWQEAAHMFAAAAAA==&#10;">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18</w:t>
                          </w:r>
                          <w:r>
                            <w:rPr>
                              <w:rFonts w:hint="default"/>
                            </w:rPr>
                            <w:fldChar w:fldCharType="end"/>
                          </w:r>
                          <w:r>
                            <w:rPr>
                              <w:rFonts w:hint="default"/>
                            </w:rP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DqPLRAAAAAwEAAA8AAAAAAAAA&#10;AQAgAAAAIgAAAGRycy9kb3ducmV2LnhtbFBLAQIUABQAAAAIAIdO4kAFcejs3wEAALMDAAAOAAAA&#10;AAAAAAEAIAAAACABAABkcnMvZTJvRG9jLnhtbFBLBQYAAAAABgAGAFkBAABxBQAAAAA=&#10;">
              <v:fill on="f" focussize="0,0"/>
              <v:stroke on="f"/>
              <v:imagedata o:title=""/>
              <o:lock v:ext="edit" aspectratio="f"/>
              <v:textbox inset="0mm,0mm,0mm,0mm" style="mso-fit-shape-to-text:t;">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18</w:t>
                    </w:r>
                    <w:r>
                      <w:rPr>
                        <w:rFonts w:hint="default"/>
                      </w:rPr>
                      <w:fldChar w:fldCharType="end"/>
                    </w:r>
                    <w:r>
                      <w:rPr>
                        <w:rFonts w:hint="default"/>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foUNYAAAAJAQAADwAA&#10;AAAAAAABACAAAAAiAAAAZHJzL2Rvd25yZXYueG1sUEsBAhQAFAAAAAgAh07iQI44ArHfAQAAswMA&#10;AA4AAAAAAAAAAQAgAAAAJQEAAGRycy9lMm9Eb2MueG1sUEsFBgAAAAAGAAYAWQEAAHYFA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4Njg5YmU5MGE1N2Q3MDRjMzk5ZTNmMGQ3YzJjNzMifQ=="/>
  </w:docVars>
  <w:rsids>
    <w:rsidRoot w:val="00B03CCD"/>
    <w:rsid w:val="001D3BB7"/>
    <w:rsid w:val="002B254B"/>
    <w:rsid w:val="00466C9B"/>
    <w:rsid w:val="00550ABE"/>
    <w:rsid w:val="00770383"/>
    <w:rsid w:val="007819D4"/>
    <w:rsid w:val="007B419D"/>
    <w:rsid w:val="007B7C4B"/>
    <w:rsid w:val="007D3D39"/>
    <w:rsid w:val="00990952"/>
    <w:rsid w:val="00994AF7"/>
    <w:rsid w:val="009B67B8"/>
    <w:rsid w:val="009D2B67"/>
    <w:rsid w:val="00A566F9"/>
    <w:rsid w:val="00AF2751"/>
    <w:rsid w:val="00B03CCD"/>
    <w:rsid w:val="00BE2B89"/>
    <w:rsid w:val="00C10E9E"/>
    <w:rsid w:val="00C20C3E"/>
    <w:rsid w:val="00C864D8"/>
    <w:rsid w:val="00F33567"/>
    <w:rsid w:val="00F73F90"/>
    <w:rsid w:val="01474EBF"/>
    <w:rsid w:val="01F3521E"/>
    <w:rsid w:val="03B87EA0"/>
    <w:rsid w:val="03E3214F"/>
    <w:rsid w:val="044C50BA"/>
    <w:rsid w:val="050108F4"/>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9961DF"/>
    <w:rsid w:val="173708E3"/>
    <w:rsid w:val="17C374FC"/>
    <w:rsid w:val="182E4AB6"/>
    <w:rsid w:val="189079DC"/>
    <w:rsid w:val="189B0D0B"/>
    <w:rsid w:val="18B43F7C"/>
    <w:rsid w:val="194A1770"/>
    <w:rsid w:val="19B906A4"/>
    <w:rsid w:val="1B6F15B6"/>
    <w:rsid w:val="1BAA2EDC"/>
    <w:rsid w:val="1CA55E64"/>
    <w:rsid w:val="1D014A01"/>
    <w:rsid w:val="1D022362"/>
    <w:rsid w:val="1D1B04B0"/>
    <w:rsid w:val="1D8D6E28"/>
    <w:rsid w:val="1DA52501"/>
    <w:rsid w:val="1DBD6767"/>
    <w:rsid w:val="1DC52125"/>
    <w:rsid w:val="1DD26311"/>
    <w:rsid w:val="1E374ACB"/>
    <w:rsid w:val="1ECF0A66"/>
    <w:rsid w:val="1EF67CA4"/>
    <w:rsid w:val="1F020D3A"/>
    <w:rsid w:val="1F2C5189"/>
    <w:rsid w:val="1F4B0B02"/>
    <w:rsid w:val="1F757D7C"/>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E47A10"/>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AE2A2E"/>
    <w:rsid w:val="37BF1123"/>
    <w:rsid w:val="383C3F15"/>
    <w:rsid w:val="38BE4696"/>
    <w:rsid w:val="3939115E"/>
    <w:rsid w:val="39B82A39"/>
    <w:rsid w:val="39C42CA8"/>
    <w:rsid w:val="39DC4FD6"/>
    <w:rsid w:val="39F03D7A"/>
    <w:rsid w:val="39F33306"/>
    <w:rsid w:val="3A2C1C67"/>
    <w:rsid w:val="3ADD7F09"/>
    <w:rsid w:val="3B042B5D"/>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2EC59EC"/>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54111A"/>
    <w:rsid w:val="54861779"/>
    <w:rsid w:val="552256E1"/>
    <w:rsid w:val="554E5773"/>
    <w:rsid w:val="555829E0"/>
    <w:rsid w:val="555A3CBC"/>
    <w:rsid w:val="5582012B"/>
    <w:rsid w:val="558E4E05"/>
    <w:rsid w:val="55BE2E85"/>
    <w:rsid w:val="56530F5D"/>
    <w:rsid w:val="567700D3"/>
    <w:rsid w:val="56FF7E9E"/>
    <w:rsid w:val="578867FC"/>
    <w:rsid w:val="57B7FDB6"/>
    <w:rsid w:val="57C1711B"/>
    <w:rsid w:val="5842572D"/>
    <w:rsid w:val="5A3B59D6"/>
    <w:rsid w:val="5AD134D8"/>
    <w:rsid w:val="5C263CE4"/>
    <w:rsid w:val="5C5D2777"/>
    <w:rsid w:val="5CF39C4C"/>
    <w:rsid w:val="5CF66BF3"/>
    <w:rsid w:val="5D290C69"/>
    <w:rsid w:val="5F2D4A41"/>
    <w:rsid w:val="5F8E747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FF2E00"/>
    <w:rsid w:val="68407834"/>
    <w:rsid w:val="6883293E"/>
    <w:rsid w:val="688412AD"/>
    <w:rsid w:val="68EB1B71"/>
    <w:rsid w:val="6A6C7940"/>
    <w:rsid w:val="6AAD2300"/>
    <w:rsid w:val="6B474EF5"/>
    <w:rsid w:val="6C0A5AC5"/>
    <w:rsid w:val="6C560CAE"/>
    <w:rsid w:val="6C576495"/>
    <w:rsid w:val="6D22782B"/>
    <w:rsid w:val="6D903FF5"/>
    <w:rsid w:val="6DA955B8"/>
    <w:rsid w:val="6DE346AB"/>
    <w:rsid w:val="6DE5391A"/>
    <w:rsid w:val="6EFD1324"/>
    <w:rsid w:val="6F5A53AC"/>
    <w:rsid w:val="6FAC003D"/>
    <w:rsid w:val="6FE55E12"/>
    <w:rsid w:val="6FEE1580"/>
    <w:rsid w:val="6FFB2E76"/>
    <w:rsid w:val="708F6F7F"/>
    <w:rsid w:val="70D94BD3"/>
    <w:rsid w:val="71C34D91"/>
    <w:rsid w:val="72DB435C"/>
    <w:rsid w:val="72E2613A"/>
    <w:rsid w:val="72F771F4"/>
    <w:rsid w:val="73934AD2"/>
    <w:rsid w:val="74F774D7"/>
    <w:rsid w:val="750837F0"/>
    <w:rsid w:val="754758CF"/>
    <w:rsid w:val="764F62AB"/>
    <w:rsid w:val="765C45EC"/>
    <w:rsid w:val="767F3B56"/>
    <w:rsid w:val="768A7619"/>
    <w:rsid w:val="772E1EBA"/>
    <w:rsid w:val="7797B4B1"/>
    <w:rsid w:val="77DF97F6"/>
    <w:rsid w:val="781926BC"/>
    <w:rsid w:val="796D60A4"/>
    <w:rsid w:val="79A031D5"/>
    <w:rsid w:val="7A1525F7"/>
    <w:rsid w:val="7B420052"/>
    <w:rsid w:val="7BD06A28"/>
    <w:rsid w:val="7C3A7C0B"/>
    <w:rsid w:val="7C5248E4"/>
    <w:rsid w:val="7C566698"/>
    <w:rsid w:val="7C5866A3"/>
    <w:rsid w:val="7D7406BB"/>
    <w:rsid w:val="7DAF6379"/>
    <w:rsid w:val="7DE94331"/>
    <w:rsid w:val="7DF97E46"/>
    <w:rsid w:val="7F446A19"/>
    <w:rsid w:val="7F4F329E"/>
    <w:rsid w:val="7F7452B9"/>
    <w:rsid w:val="A613FD76"/>
    <w:rsid w:val="BBD7B2E8"/>
    <w:rsid w:val="BFEE1911"/>
    <w:rsid w:val="E7430A38"/>
    <w:rsid w:val="EBDF8125"/>
    <w:rsid w:val="FBFE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2212</Words>
  <Characters>12611</Characters>
  <Lines>105</Lines>
  <Paragraphs>29</Paragraphs>
  <TotalTime>13</TotalTime>
  <ScaleCrop>false</ScaleCrop>
  <LinksUpToDate>false</LinksUpToDate>
  <CharactersWithSpaces>14794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2024-09-24T08:24:00Z</dcterms:created>
  <dc:creator>Administrator</dc:creator>
  <cp:lastModifiedBy>Administrator</cp:lastModifiedBy>
  <dcterms:modified xsi:type="dcterms:W3CDTF">2024-09-29T07:09:40Z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0D19A141F53D43C0969A2170F33D8D00_13</vt:lpwstr>
  </property>
</Properties>
</file>