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_GBK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2021年度县级决算（草案）的报告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eastAsia="方正楷体_GBK"/>
          <w:bCs/>
          <w:color w:val="000000"/>
          <w:spacing w:val="4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县十八届人民代表大会第一次会议审查批准了《关于巫溪县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年预算执行情况和202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年预算草案的报告》，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根据</w:t>
      </w:r>
      <w:r>
        <w:rPr>
          <w:rFonts w:ascii="Times New Roman" w:hAnsi="Times New Roman" w:eastAsia="方正仿宋_GBK"/>
          <w:bCs/>
          <w:sz w:val="32"/>
          <w:szCs w:val="32"/>
        </w:rPr>
        <w:t>市财政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批复我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县</w:t>
      </w:r>
      <w:r>
        <w:rPr>
          <w:rFonts w:ascii="Times New Roman" w:hAnsi="Times New Roman" w:eastAsia="方正仿宋_GBK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</w:t>
      </w:r>
      <w:r>
        <w:rPr>
          <w:rFonts w:ascii="Times New Roman" w:hAnsi="Times New Roman" w:eastAsia="方正仿宋_GBK"/>
          <w:bCs/>
          <w:sz w:val="32"/>
          <w:szCs w:val="32"/>
        </w:rPr>
        <w:t>年度财政决算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情况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按照《中华人民共和国预算法》《重庆市预算审查监督条例》相关规定，现将202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年度决算草案报告如下：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一、2021年全县收支决算情况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（一）一般公共预算收支决算情况。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收入总计55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元。其中：全县一般公共预算收入7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元（税收收入4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元、非税收入2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元），上级补助收入38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元，地方政府一般债券转贷收入5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元（新增债券5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元，再融资债券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元），政府性基金预算调入一般公共预算1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元，国有资本经营预算调入一般公共预算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元，动用预算稳定调节基金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元，上年结余2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上级补助收入包括：税收返还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元（所得税基数返还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元、增值税税收返还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7亿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元、消费税税收返还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元），一般性转移支付收入29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元，专项转移支付收入8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支出总计55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元。其中：一般公共预算支出52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.4亿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元，上解上级支出2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元，债务还本支出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元，安排预算稳定调节基金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元，结转下年支出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与县十八届人民代表大会第一次会议批准的2021年预算执行数相比：一般公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共预算收入决算数减少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589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万元，主要是政府性基金预算调入减少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589万元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。一般公共预算支出决算数对应减少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589万元。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/>
          <w:color w:val="auto"/>
          <w:sz w:val="32"/>
          <w:szCs w:val="32"/>
        </w:rPr>
        <w:t>（二）政府性基金预算收支决算情况。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收入总计14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元。全县政府性基金收入4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元，上级补助收入1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元，地方政府专项债务转贷收入8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元（新增债券8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元，再融资债券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元），上年结余1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04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支出总计14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元。政府性基金支出11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35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元，上解上级支出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元，调出资金1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元，债务还本支出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元，结转下年支出1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与县十八届人民代表大会第一次会议批准的2021年预算执行数相比：一是政府性基金预算收入决算数减少589万元，主要是一般公共预算调入资金减少589万元。政府性基金预算支出决算数对应减少589万元。二是上解上级支出减少312万元，结转下年相应增加312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（三）国有资本经营预算收支决算情况。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元，其中：国有资本经营预算收入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元。支出总计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元，其中：调入一般公共预算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与县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十八</w:t>
      </w:r>
      <w:r>
        <w:rPr>
          <w:rFonts w:ascii="Times New Roman" w:hAnsi="Times New Roman" w:eastAsia="方正仿宋_GBK"/>
          <w:color w:val="000000"/>
          <w:sz w:val="32"/>
          <w:szCs w:val="32"/>
        </w:rPr>
        <w:t>届人民代表大会第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次会议批准的20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年预算执行数一致。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22"/>
        </w:rPr>
      </w:pPr>
      <w:r>
        <w:rPr>
          <w:rFonts w:ascii="Times New Roman" w:hAnsi="Times New Roman" w:eastAsia="方正黑体_GBK"/>
          <w:color w:val="000000"/>
          <w:sz w:val="32"/>
          <w:szCs w:val="22"/>
        </w:rPr>
        <w:t>二、20</w:t>
      </w:r>
      <w:r>
        <w:rPr>
          <w:rFonts w:hint="eastAsia" w:ascii="Times New Roman" w:hAnsi="Times New Roman" w:eastAsia="方正黑体_GBK"/>
          <w:color w:val="000000"/>
          <w:sz w:val="32"/>
          <w:szCs w:val="22"/>
        </w:rPr>
        <w:t>21</w:t>
      </w:r>
      <w:r>
        <w:rPr>
          <w:rFonts w:ascii="Times New Roman" w:hAnsi="Times New Roman" w:eastAsia="方正黑体_GBK"/>
          <w:color w:val="000000"/>
          <w:sz w:val="32"/>
          <w:szCs w:val="22"/>
        </w:rPr>
        <w:t>年县级收支决算情况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（一）一般公共预算收支决算情况。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一般公共预算收入7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元（税收收入4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元、非税收入2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元），上级补助收入38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元，地方政府一般债券转贷收入5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元，政府性基金预算调入一般公共预算1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元，国有资本经营预算调入一般公共预算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元，动用预算稳定调节基金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元，上年结余2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元。收入总计55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20</w:t>
      </w:r>
      <w:r>
        <w:rPr>
          <w:rFonts w:hint="eastAsia"/>
          <w:color w:val="000000"/>
          <w:szCs w:val="32"/>
        </w:rPr>
        <w:t>21</w:t>
      </w:r>
      <w:r>
        <w:rPr>
          <w:color w:val="000000"/>
          <w:szCs w:val="32"/>
        </w:rPr>
        <w:t>年一般公共预算支出中乡镇支出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  <w:lang w:val="en-US" w:eastAsia="zh-CN"/>
        </w:rPr>
        <w:t>.</w:t>
      </w:r>
      <w:r>
        <w:rPr>
          <w:rFonts w:hint="eastAsia"/>
          <w:color w:val="000000"/>
          <w:szCs w:val="32"/>
        </w:rPr>
        <w:t>61</w:t>
      </w:r>
      <w:r>
        <w:rPr>
          <w:rFonts w:hint="eastAsia"/>
          <w:color w:val="000000"/>
          <w:szCs w:val="32"/>
          <w:lang w:eastAsia="zh-CN"/>
        </w:rPr>
        <w:t>亿</w:t>
      </w:r>
      <w:r>
        <w:rPr>
          <w:color w:val="000000"/>
          <w:szCs w:val="32"/>
        </w:rPr>
        <w:t>元，主要用于乡镇人员和运转支出、村社区支出、低保人员和五保户供养、</w:t>
      </w:r>
      <w:r>
        <w:rPr>
          <w:rFonts w:hint="eastAsia"/>
          <w:color w:val="000000"/>
          <w:szCs w:val="32"/>
        </w:rPr>
        <w:t>乡村振兴</w:t>
      </w:r>
      <w:r>
        <w:rPr>
          <w:color w:val="000000"/>
          <w:szCs w:val="32"/>
        </w:rPr>
        <w:t>、优抚支出等方面。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县级一般公共预算支出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78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元，补助下级支出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元，上解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上级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安排预算稳定调节基金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元，支出总计为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86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元。收支品迭，结转下年支出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（二）政府性基金预算收支决算情况。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政府性基金收入4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元，上级补助收入1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7亿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元，地方政府专项债务转贷收入8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元，上年结余1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元。收入总计14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2021年政府性预算支出中乡镇支出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元，主要用于农村旧房整治、环境综合整治、水库移民后期扶持、三峡工程后续工作、福彩圆梦孤儿助学等方面。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县级政府性基金支出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元，补助下级支出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元，上解上级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元，调出资金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债务还本支出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支出总计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元。收支品迭，结转下年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支出1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（三）国有资本经营预算收支决算情况。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国有资本经营预算收入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元，收入总计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元。调入一般公共预算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元。收支品迭，年终无结余。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（四）转移支付安排情况。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年县级补助乡镇一般公共预算收入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元，收入总计为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元。乡镇一般公共预算支出为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元，一般公共预算决算收支平衡。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年县级补助乡镇政府性基金预算收入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元，收入总计为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元。乡镇政府性基金预算支出为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元，政府性基金预算决算收支平衡。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三、其他重点报告事项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）预算绩效管理情况。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年，我县认真贯彻落实《</w:t>
      </w:r>
      <w:r>
        <w:rPr>
          <w:rFonts w:hint="eastAsia" w:ascii="Times New Roman" w:hAnsi="Times New Roman" w:eastAsia="方正仿宋_GBK"/>
          <w:sz w:val="32"/>
          <w:szCs w:val="32"/>
        </w:rPr>
        <w:t>中共巫溪县委 巫溪县人民政府</w:t>
      </w:r>
      <w:r>
        <w:rPr>
          <w:rFonts w:ascii="Times New Roman" w:hAnsi="Times New Roman" w:eastAsia="方正仿宋_GBK"/>
          <w:sz w:val="32"/>
          <w:szCs w:val="32"/>
        </w:rPr>
        <w:t>关于全面实施预算绩效管理的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实施意见</w:t>
      </w:r>
      <w:r>
        <w:rPr>
          <w:rFonts w:ascii="Times New Roman" w:hAnsi="Times New Roman" w:eastAsia="方正仿宋_GBK"/>
          <w:sz w:val="32"/>
          <w:szCs w:val="32"/>
        </w:rPr>
        <w:t>》相关要求，持续推进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“全过程”</w:t>
      </w:r>
      <w:r>
        <w:rPr>
          <w:rFonts w:ascii="Times New Roman" w:hAnsi="Times New Roman" w:eastAsia="方正仿宋_GBK"/>
          <w:sz w:val="32"/>
          <w:szCs w:val="32"/>
        </w:rPr>
        <w:t>预算绩效管理。202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年初预算项目编制绩效目标</w:t>
      </w:r>
      <w:r>
        <w:rPr>
          <w:rFonts w:hint="eastAsia" w:ascii="Times New Roman" w:hAnsi="Times New Roman" w:eastAsia="方正仿宋_GBK"/>
          <w:sz w:val="32"/>
          <w:szCs w:val="32"/>
        </w:rPr>
        <w:t>555</w:t>
      </w:r>
      <w:r>
        <w:rPr>
          <w:rFonts w:ascii="Times New Roman" w:hAnsi="Times New Roman" w:eastAsia="方正仿宋_GBK"/>
          <w:sz w:val="32"/>
          <w:szCs w:val="32"/>
        </w:rPr>
        <w:t>个，实现了项目绩效目标编制全覆盖；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在部门重点支出项目中选取了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个具有代表性的项目对其预算执行情况、管理情况、绩效目标实现程度等进行绩效运行监控 ，并</w:t>
      </w:r>
      <w:r>
        <w:rPr>
          <w:rFonts w:ascii="Times New Roman" w:hAnsi="Times New Roman" w:eastAsia="方正仿宋_GBK"/>
          <w:sz w:val="32"/>
          <w:szCs w:val="32"/>
        </w:rPr>
        <w:t>通过动态监控平台对所有扶贫资金实现全覆盖、全过程绩效监控；组织</w:t>
      </w:r>
      <w:r>
        <w:rPr>
          <w:rFonts w:hint="eastAsia" w:ascii="Times New Roman" w:hAnsi="Times New Roman" w:eastAsia="方正仿宋_GBK"/>
          <w:sz w:val="32"/>
          <w:szCs w:val="32"/>
        </w:rPr>
        <w:t>50</w:t>
      </w:r>
      <w:r>
        <w:rPr>
          <w:rFonts w:ascii="Times New Roman" w:hAnsi="Times New Roman" w:eastAsia="方正仿宋_GBK"/>
          <w:sz w:val="32"/>
          <w:szCs w:val="32"/>
        </w:rPr>
        <w:t>个预算</w:t>
      </w:r>
      <w:r>
        <w:rPr>
          <w:rFonts w:hint="eastAsia" w:ascii="Times New Roman" w:hAnsi="Times New Roman" w:eastAsia="方正仿宋_GBK"/>
          <w:sz w:val="32"/>
          <w:szCs w:val="32"/>
        </w:rPr>
        <w:t>单位</w:t>
      </w:r>
      <w:r>
        <w:rPr>
          <w:rFonts w:ascii="Times New Roman" w:hAnsi="Times New Roman" w:eastAsia="方正仿宋_GBK"/>
          <w:sz w:val="32"/>
          <w:szCs w:val="32"/>
        </w:rPr>
        <w:t>开展项目资金预算绩效评价，评价项目</w:t>
      </w:r>
      <w:r>
        <w:rPr>
          <w:rFonts w:hint="eastAsia" w:ascii="Times New Roman" w:hAnsi="Times New Roman" w:eastAsia="方正仿宋_GBK"/>
          <w:sz w:val="32"/>
          <w:szCs w:val="32"/>
        </w:rPr>
        <w:t>959</w:t>
      </w:r>
      <w:r>
        <w:rPr>
          <w:rFonts w:ascii="Times New Roman" w:hAnsi="Times New Roman" w:eastAsia="方正仿宋_GBK"/>
          <w:sz w:val="32"/>
          <w:szCs w:val="32"/>
        </w:rPr>
        <w:t>个，评价金额</w:t>
      </w:r>
      <w:r>
        <w:rPr>
          <w:rFonts w:hint="eastAsia"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其中预算单位自评项目</w:t>
      </w:r>
      <w:r>
        <w:rPr>
          <w:rFonts w:hint="eastAsia" w:ascii="Times New Roman" w:hAnsi="Times New Roman" w:eastAsia="方正仿宋_GBK"/>
          <w:sz w:val="32"/>
          <w:szCs w:val="32"/>
        </w:rPr>
        <w:t>950</w:t>
      </w:r>
      <w:r>
        <w:rPr>
          <w:rFonts w:ascii="Times New Roman" w:hAnsi="Times New Roman" w:eastAsia="方正仿宋_GBK"/>
          <w:sz w:val="32"/>
          <w:szCs w:val="32"/>
        </w:rPr>
        <w:t>个，评价金额</w:t>
      </w:r>
      <w:r>
        <w:rPr>
          <w:rFonts w:hint="eastAsia" w:ascii="Times New Roman" w:hAnsi="Times New Roman" w:eastAsia="方正仿宋_GBK"/>
          <w:sz w:val="32"/>
          <w:szCs w:val="32"/>
        </w:rPr>
        <w:t>45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78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财政局委托三方机构组织开展重点评价项目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个，评价金额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45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sz w:val="32"/>
          <w:szCs w:val="32"/>
        </w:rPr>
        <w:t>元，</w:t>
      </w:r>
      <w:r>
        <w:rPr>
          <w:rFonts w:hint="eastAsia" w:ascii="Times New Roman" w:hAnsi="Times New Roman" w:eastAsia="方正仿宋_GBK"/>
          <w:sz w:val="32"/>
          <w:szCs w:val="32"/>
        </w:rPr>
        <w:t>项目评价预期目标基本实现，评价结果总体良好；绩效评价结果随部门决算公开，一级预算单位公开覆盖率达100%，财政部门9个重点评价结果全部在政府门户网站向社会公开；</w:t>
      </w:r>
      <w:r>
        <w:rPr>
          <w:rFonts w:ascii="Times New Roman" w:hAnsi="Times New Roman" w:eastAsia="方正仿宋_GBK"/>
          <w:sz w:val="32"/>
          <w:szCs w:val="32"/>
        </w:rPr>
        <w:t>将预算绩效管理工作纳入了部门年度</w:t>
      </w:r>
      <w:r>
        <w:rPr>
          <w:rFonts w:hint="eastAsia" w:ascii="Times New Roman" w:hAnsi="Times New Roman" w:eastAsia="方正仿宋_GBK"/>
          <w:sz w:val="32"/>
          <w:szCs w:val="32"/>
        </w:rPr>
        <w:t>综合目标</w:t>
      </w:r>
      <w:r>
        <w:rPr>
          <w:rFonts w:ascii="Times New Roman" w:hAnsi="Times New Roman" w:eastAsia="方正仿宋_GBK"/>
          <w:sz w:val="32"/>
          <w:szCs w:val="32"/>
        </w:rPr>
        <w:t>考核，</w:t>
      </w:r>
      <w:r>
        <w:rPr>
          <w:rFonts w:hint="eastAsia" w:ascii="Times New Roman" w:hAnsi="Times New Roman" w:eastAsia="方正仿宋_GBK"/>
          <w:sz w:val="32"/>
          <w:szCs w:val="32"/>
        </w:rPr>
        <w:t>制定了《巫溪县2021年乡镇、县级部门考核方案》及《2021年度乡镇（街道）和县级部门预算绩效管理工作考核评分细则》，加强</w:t>
      </w:r>
      <w:r>
        <w:rPr>
          <w:rFonts w:ascii="Times New Roman" w:hAnsi="Times New Roman" w:eastAsia="方正仿宋_GBK"/>
          <w:sz w:val="32"/>
          <w:szCs w:val="32"/>
        </w:rPr>
        <w:t>了结果应用。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（二）政府债务管控情况。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17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2021年，我县政府债务限额为</w:t>
      </w:r>
      <w:r>
        <w:rPr>
          <w:rFonts w:hint="eastAsia" w:ascii="Times New Roman" w:hAnsi="Times New Roman" w:eastAsia="方正仿宋_GBK"/>
          <w:color w:val="0000FF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/>
          <w:color w:val="0000FF"/>
          <w:sz w:val="32"/>
          <w:szCs w:val="32"/>
        </w:rPr>
        <w:t>亿元</w:t>
      </w:r>
      <w:r>
        <w:rPr>
          <w:rFonts w:hint="eastAsia" w:ascii="Times New Roman" w:hAnsi="Times New Roman" w:eastAsia="方正仿宋_GBK"/>
          <w:sz w:val="32"/>
          <w:szCs w:val="32"/>
        </w:rPr>
        <w:t>，年末政府债务余额64.66亿元，其中：一般债务余额34.71亿元，专项债务余额29.95亿元，政府债务余额控制在限额之内，债务风险可控。2021年新增债务转贷收入13亿元，其中：新增一般债券5亿元，主要用于公路建设3.6亿元、义务教育1亿元、文化建设0.3亿元、农林水利建设0.1亿元；新增专项债券8亿元，主要用于市政及产业园区0.99亿元，保障性住房4.4亿元，公立医院1.9亿元、社会保障0.69亿元、物流设施0.02亿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三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）结转结余资金情况。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年一般公共预算结转下年支出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元。政府性基金预算结转下年支出1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元。结转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元全部纳入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年年初预算安排。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四</w:t>
      </w:r>
      <w:r>
        <w:rPr>
          <w:rFonts w:ascii="Times New Roman" w:hAnsi="Times New Roman" w:eastAsia="方正楷体_GBK"/>
          <w:color w:val="000000"/>
          <w:sz w:val="32"/>
          <w:szCs w:val="32"/>
        </w:rPr>
        <w:t>）预备费、预算稳定调节基金等使用情况。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按《预算法》《预算稳定调节基金管理办法》，一般公共预算超收收入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0.05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元补充预算稳定调节基金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按《巫溪县县级预备费管理办法》，将年初设置的预备费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0.4亿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元补充预算稳定调节基金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预算稳定调节基金期初无结余，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补充后期末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共计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0.45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/>
        <w:textAlignment w:val="auto"/>
        <w:rPr>
          <w:rFonts w:eastAsia="方正楷体_GBK"/>
          <w:color w:val="000000"/>
          <w:kern w:val="0"/>
          <w:szCs w:val="32"/>
        </w:rPr>
      </w:pPr>
      <w:r>
        <w:rPr>
          <w:rFonts w:hint="eastAsia" w:eastAsia="方正楷体_GBK"/>
          <w:color w:val="000000"/>
          <w:kern w:val="0"/>
          <w:szCs w:val="32"/>
        </w:rPr>
        <w:t>（五）直达资金使用情况。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/>
        <w:textAlignment w:val="auto"/>
        <w:rPr>
          <w:rFonts w:hint="eastAsia"/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2021年，全县</w:t>
      </w:r>
      <w:r>
        <w:rPr>
          <w:rFonts w:hint="eastAsia"/>
          <w:color w:val="000000"/>
          <w:kern w:val="0"/>
          <w:szCs w:val="32"/>
          <w:lang w:eastAsia="zh-CN"/>
        </w:rPr>
        <w:t>下达</w:t>
      </w:r>
      <w:r>
        <w:rPr>
          <w:rFonts w:hint="eastAsia"/>
          <w:color w:val="000000"/>
          <w:kern w:val="0"/>
          <w:szCs w:val="32"/>
        </w:rPr>
        <w:t>直达资金7.94亿元，已分配7.91亿元，分配进度99.6%，已实现关联6.89亿元，支付进度86.8%。接收参照直达资金</w:t>
      </w:r>
      <w:r>
        <w:rPr>
          <w:rFonts w:hint="eastAsia"/>
          <w:color w:val="000000"/>
          <w:kern w:val="0"/>
          <w:szCs w:val="32"/>
          <w:lang w:val="en-US" w:eastAsia="zh-CN"/>
        </w:rPr>
        <w:t>0.</w:t>
      </w:r>
      <w:r>
        <w:rPr>
          <w:rFonts w:hint="eastAsia"/>
          <w:color w:val="000000"/>
          <w:kern w:val="0"/>
          <w:szCs w:val="32"/>
        </w:rPr>
        <w:t>6</w:t>
      </w:r>
      <w:r>
        <w:rPr>
          <w:rFonts w:hint="eastAsia"/>
          <w:color w:val="000000"/>
          <w:kern w:val="0"/>
          <w:szCs w:val="32"/>
          <w:lang w:val="en-US" w:eastAsia="zh-CN"/>
        </w:rPr>
        <w:t>3亿</w:t>
      </w:r>
      <w:r>
        <w:rPr>
          <w:rFonts w:hint="eastAsia"/>
          <w:color w:val="000000"/>
          <w:kern w:val="0"/>
          <w:szCs w:val="32"/>
        </w:rPr>
        <w:t>元，已分配</w:t>
      </w:r>
      <w:r>
        <w:rPr>
          <w:rFonts w:hint="eastAsia"/>
          <w:color w:val="000000"/>
          <w:kern w:val="0"/>
          <w:szCs w:val="32"/>
          <w:lang w:val="en-US" w:eastAsia="zh-CN"/>
        </w:rPr>
        <w:t>0.63亿</w:t>
      </w:r>
      <w:r>
        <w:rPr>
          <w:rFonts w:hint="eastAsia"/>
          <w:color w:val="000000"/>
          <w:kern w:val="0"/>
          <w:szCs w:val="32"/>
        </w:rPr>
        <w:t>元，分配进度100%。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/>
        <w:textAlignment w:val="auto"/>
        <w:rPr>
          <w:rFonts w:eastAsia="方正楷体_GBK"/>
          <w:color w:val="000000"/>
          <w:kern w:val="0"/>
          <w:szCs w:val="32"/>
        </w:rPr>
      </w:pPr>
      <w:r>
        <w:rPr>
          <w:rFonts w:hint="eastAsia" w:eastAsia="方正楷体_GBK"/>
          <w:color w:val="000000"/>
          <w:kern w:val="0"/>
          <w:szCs w:val="32"/>
        </w:rPr>
        <w:t>（六）“三公”经费支出及政府采购情况。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/>
        <w:textAlignment w:val="auto"/>
        <w:rPr>
          <w:rFonts w:hint="eastAsia"/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202</w:t>
      </w:r>
      <w:r>
        <w:rPr>
          <w:color w:val="000000"/>
          <w:kern w:val="0"/>
          <w:szCs w:val="32"/>
        </w:rPr>
        <w:t>1</w:t>
      </w:r>
      <w:r>
        <w:rPr>
          <w:rFonts w:hint="eastAsia"/>
          <w:color w:val="000000"/>
          <w:kern w:val="0"/>
          <w:szCs w:val="32"/>
        </w:rPr>
        <w:t>年，全县“三公”经费财政拨款支出合计</w:t>
      </w:r>
      <w:r>
        <w:rPr>
          <w:rFonts w:hint="eastAsia"/>
          <w:color w:val="000000"/>
          <w:kern w:val="0"/>
          <w:szCs w:val="32"/>
          <w:lang w:val="en-US" w:eastAsia="zh-CN"/>
        </w:rPr>
        <w:t>0.</w:t>
      </w:r>
      <w:r>
        <w:rPr>
          <w:rFonts w:hint="eastAsia"/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  <w:lang w:val="en-US" w:eastAsia="zh-CN"/>
        </w:rPr>
        <w:t>1亿</w:t>
      </w:r>
      <w:r>
        <w:rPr>
          <w:rFonts w:hint="eastAsia"/>
          <w:color w:val="000000"/>
          <w:kern w:val="0"/>
          <w:szCs w:val="32"/>
        </w:rPr>
        <w:t>元，比预算数减少</w:t>
      </w:r>
      <w:r>
        <w:rPr>
          <w:rFonts w:hint="eastAsia"/>
          <w:color w:val="000000"/>
          <w:kern w:val="0"/>
          <w:szCs w:val="32"/>
          <w:lang w:val="en-US" w:eastAsia="zh-CN"/>
        </w:rPr>
        <w:t>0.0</w:t>
      </w:r>
      <w:r>
        <w:rPr>
          <w:color w:val="000000"/>
          <w:kern w:val="0"/>
          <w:szCs w:val="32"/>
        </w:rPr>
        <w:t>1</w:t>
      </w:r>
      <w:r>
        <w:rPr>
          <w:rFonts w:hint="eastAsia"/>
          <w:color w:val="000000"/>
          <w:kern w:val="0"/>
          <w:szCs w:val="32"/>
          <w:lang w:eastAsia="zh-CN"/>
        </w:rPr>
        <w:t>亿</w:t>
      </w:r>
      <w:r>
        <w:rPr>
          <w:rFonts w:hint="eastAsia"/>
          <w:color w:val="000000"/>
          <w:kern w:val="0"/>
          <w:szCs w:val="32"/>
        </w:rPr>
        <w:t>元，其中，因公出国（境）费0万元；公务用车购置及运维费</w:t>
      </w:r>
      <w:r>
        <w:rPr>
          <w:rFonts w:hint="eastAsia"/>
          <w:color w:val="000000"/>
          <w:kern w:val="0"/>
          <w:szCs w:val="32"/>
          <w:lang w:val="en-US" w:eastAsia="zh-CN"/>
        </w:rPr>
        <w:t>0.</w:t>
      </w:r>
      <w:r>
        <w:rPr>
          <w:rFonts w:hint="eastAsia"/>
          <w:color w:val="000000"/>
          <w:kern w:val="0"/>
          <w:szCs w:val="32"/>
        </w:rPr>
        <w:t>13</w:t>
      </w:r>
      <w:r>
        <w:rPr>
          <w:rFonts w:hint="eastAsia"/>
          <w:color w:val="000000"/>
          <w:kern w:val="0"/>
          <w:szCs w:val="32"/>
          <w:lang w:eastAsia="zh-CN"/>
        </w:rPr>
        <w:t>亿</w:t>
      </w:r>
      <w:r>
        <w:rPr>
          <w:rFonts w:hint="eastAsia"/>
          <w:color w:val="000000"/>
          <w:kern w:val="0"/>
          <w:szCs w:val="32"/>
        </w:rPr>
        <w:t>元；公务接待费</w:t>
      </w:r>
      <w:r>
        <w:rPr>
          <w:rFonts w:hint="eastAsia"/>
          <w:color w:val="000000"/>
          <w:kern w:val="0"/>
          <w:szCs w:val="32"/>
          <w:lang w:val="en-US" w:eastAsia="zh-CN"/>
        </w:rPr>
        <w:t>0.08亿</w:t>
      </w:r>
      <w:r>
        <w:rPr>
          <w:rFonts w:hint="eastAsia"/>
          <w:color w:val="000000"/>
          <w:kern w:val="0"/>
          <w:szCs w:val="32"/>
        </w:rPr>
        <w:t>元。主要是贯彻落实中央“厉行节约、反对浪费”和过紧日子要求，从严控制和压缩“三公”经费支出，以及受疫情防控等客观因素影响，公务用车支出和公务接待支出减少。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2021年，全县政府采购合同执行金额4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元（含工程类），其中：货物类1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9亿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元，服务类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万元，工程类2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元；集中采购3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元，分散采购1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元；授予中小微企业合同金额4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07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元，授予小微企业合同金额3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（七）审计意见的整改落实情况。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3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年上半年，审计组依法对202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年度县级预算执行和决算草案编制进行了审计，累计发现问题</w:t>
      </w:r>
      <w:r>
        <w:rPr>
          <w:rFonts w:ascii="Times New Roman" w:hAnsi="Times New Roman" w:eastAsia="方正仿宋_GBK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个，当前已落实整改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个。下一步财政将结合存在的问题，切实加强财政管理，一是抓收入，在应减尽减的基础上，做到应收尽收、依法征收。二是增效益，提高专项资金、债券资金的支出进度，及时发挥财政资金的支出绩效。三是防风险，不断优化财政支出结构，切实防范债务违约、三保支出、库款调度、隐性赤字等风险，确保财政运行平稳可持续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firstLine="630"/>
        <w:textAlignment w:val="auto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巫溪县2021年度一般公共预算收支决算表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巫溪县2021年度一般公共预算支出决算表（按功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能科目分类）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3. 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巫溪县2021年度一般公共预算支出决算表（按经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济科目分类）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4. 巫溪县2021年度政府性基金预算收支决算表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 xml:space="preserve">5. </w:t>
      </w:r>
      <w:r>
        <w:rPr>
          <w:rFonts w:hint="eastAsia"/>
          <w:lang w:val="en-US" w:eastAsia="zh-CN"/>
        </w:rPr>
        <w:t>巫溪县2021年度国有资本经营预算收支决算表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6. 巫溪县2021年度地方政府债务限额及余额情况表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439" w:charSpace="0"/>
        </w:sect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巫溪县2021年度一般公共预算收支决算表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tbl>
      <w:tblPr>
        <w:tblStyle w:val="12"/>
        <w:tblW w:w="15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635"/>
        <w:gridCol w:w="674"/>
        <w:gridCol w:w="646"/>
        <w:gridCol w:w="816"/>
        <w:gridCol w:w="674"/>
        <w:gridCol w:w="730"/>
        <w:gridCol w:w="3830"/>
        <w:gridCol w:w="635"/>
        <w:gridCol w:w="674"/>
        <w:gridCol w:w="635"/>
        <w:gridCol w:w="806"/>
        <w:gridCol w:w="674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572129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559725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559725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73408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73905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523957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税收收入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44347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115687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-49.3%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车船税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耕地占用税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 契税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52555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 烟叶税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环境保护税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其他税收收入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-144.4%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非税收入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 行政事业性收费收入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国有资源(资产)有偿使用收入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捐赠收入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498721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485820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-16.7%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35768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二、上年结余收入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三、调入资金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-95.7%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从政府性基金预算调入一般公共预算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四、安排预算稳定调节基金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从国有资本经营预算调入一般公共预算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四、债务转贷收入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地方政府一般债券还本支出（再融资）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地方政府一般债券转贷收入（新增）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地方政府向国际组织借款还本支出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地方政府一般债券转贷收入（再融资）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地方政府向国际组织借款收入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五、动用预算稳定调节基金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巫溪县2021年度一般公共预算支出决算表（按功能科目分类）</w:t>
      </w:r>
    </w:p>
    <w:tbl>
      <w:tblPr>
        <w:tblStyle w:val="1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830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523,957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人大会议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人大立法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人大代表履职能力提升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代表工作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人大信访工作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其他人大事务支出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政协会议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委员视察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其他政协事务支出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政府办公厅(室)及相关机构事务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专项业务及机关事务管理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政务公开审批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参事事务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其他政府办公厅(室)及相关机构事务支出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战略规划与实施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日常经济运行调节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社会事业发展规划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经济体制改革研究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物价管理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专项统计业务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统计抽样调查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预算改革业务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财政国库业务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财政委托业务支出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税收事务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税收业务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其他税收事务支出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审计业务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审计管理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其他审计事务支出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海关事务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缉私办案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口岸管理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海关关务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关税征管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海关监管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检验检疫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其他海关事务支出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大案要案查处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派驻派出机构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巡视工作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商贸事务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对外贸易管理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国际经济合作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外资管理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国内贸易管理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招商引资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其他商贸事务支出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知识产权事务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专利审批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知识产权战略和规划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国际合作与交流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知识产权宏观管理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原产地地理标志管理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其他知识产权事务支出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民族事务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民族工作专项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其他民族事务支出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港澳台事务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港澳事务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台湾事务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其他港澳台事务支出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其他档案事务支出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其他民主党派及工商联事务支出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工会事务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党委办公厅(室)及相关机构事务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其他党委办公厅(室)及相关机构事务支出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宣传管理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统战事务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华侨事务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其他统战事务支出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对外联络事务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其他对外联络事务支出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其他共产党事务支出(项)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网信事务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信息安全事务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其他网信事务支出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市场主体管理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市场秩序执法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质量基础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药品事务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医疗器械事务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化妆品事务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质量安全监管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食品安全监管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其他市场监督管理事务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其他一般公共服务支出(款)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国家赔偿费用支出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其他一般公共服务支出(项)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其他外交管理事务支出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驻外机构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驻外使领馆(团、处)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其他驻外机构支出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援外优惠贷款贴息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国际组织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国际组织捐赠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维和摊款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国际组织股金及基金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其他国际组织支出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对外合作与交流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在华国际会议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国际交流活动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对外合作活动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其他对外合作与交流支出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对外宣传(款)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对外宣传(项)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边界勘界联检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边界勘界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边界联检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边界界桩维护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国际发展合作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其他国际发展合作支出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其他外交支出(款)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其他外交支出(项)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现役部队(款)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现役部队(项)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国防科研事业(款)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国防科研事业(项)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专项工程(款)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专项工程(项)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人民防空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交通战备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预备役部队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边海防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其他国防动员支出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其他国防支出(款)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其他国防支出(项)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武装警察部队(款)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武装警察部队(项)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其他武装警察部队支出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执法办案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特别业务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特勤业务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移民事务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其他国家安全支出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检察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“两房”建设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检察监督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其他检察支出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法院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案件审判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案件执行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“两庭”建设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其他法院支出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律师管理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公共法律服务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国家统一法律职业资格考试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社区矫正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法治建设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监狱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犯人生活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犯人改造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狱政设施建设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其他监狱支出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强制隔离戒毒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强制隔离戒毒人员生活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强制隔离戒毒人员教育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所政设施建设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其他强制隔离戒毒支出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国家保密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保密技术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其他国家保密支出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缉私警察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缉私业务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其他缉私警察支出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其他公共安全支出(款)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国家司法救助支出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其他公共安全支出(项)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115,687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高等教育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初等职业教育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中等职业教育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高等职业教育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其他职业教育支出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成人教育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成人初等教育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成人中等教育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成人高等教育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成人广播电视教育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其他成人教育支出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教育电视台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其他广播电视教育支出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留学教育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出国留学教育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来华留学教育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其他留学教育支出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特殊学校教育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工读学校教育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其他特殊教育支出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教师进修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培训支出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退役士兵能力提升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其他进修及培训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教育费附加安排的支出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农村中小学校舍建设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农村中小学教学设施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城市中小学校舍建设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城市中小学教学设施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中等职业学校教学设施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自然科学基金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实验室及相关设施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重大科学工程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专项基础科研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科技人才队伍建设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其他基础研究支出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社会公益研究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高技术研究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专项科研试制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其他应用研究支出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技术研究与开发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科技成果转化与扩散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共性技术研究与开发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其他技术研究与开发支出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科技条件与服务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技术创新服务体系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科技条件专项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其他科技条件与服务支出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社会科学研究机构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社会科学研究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社科基金支出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其他社会科学支出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青少年科技活动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学术交流活动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其他科学技术普及支出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科技交流与合作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国际交流与合作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重大科技合作项目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其他科技交流与合作支出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科技重大项目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科技重大专项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重点研发计划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其他科技重大项目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核应急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转制科研机构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文化展示及纪念机构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艺术表演场所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艺术表演团体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文化和旅游交流与合作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文化创作与保护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文化和旅游市场管理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旅游宣传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文化和旅游管理事务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历史名城与古迹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运动项目管理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体育竞赛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体育交流与合作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新闻通讯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出版发行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版权管理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其他新闻出版电影支出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监测监管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传输发射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广播电视事务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其他广播电视支出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其他文化旅游体育与传媒支出(款)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宣传文化发展专项支出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文化产业发展专项支出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其他文化旅游体育与传媒支出(项)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社会保险业务管理事务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劳动关系和维权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公共就业服务和职业技能鉴定机构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劳动人事争议调解仲裁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政府特殊津贴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资助留学回国人员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博士后日常经费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引进人才费用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社会组织管理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用一般公共预算补充基金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离退休人员管理机构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对机关事业单位基本养老保险基金的补助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对机关事业单位职业年金的补助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企业改革补助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企业关闭破产补助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厂办大集体改革补助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其他企业改革发展补助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就业创业服务补贴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职业培训补贴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公益性岗位补贴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职业技能鉴定补贴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就业见习补贴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高技能人才培养补助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促进创业补贴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死亡抚恤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在乡复员、退伍军人生活补助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优抚事业单位支出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农村籍退役士兵老年生活补助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军队移交政府离退休干部管理机构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退役士兵管理教育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军队转业干部安置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其他退役安置支出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康复辅具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殡葬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残疾人就业和扶贫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红十字事业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其他红十字事业支出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农村特困人员救助供养支出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补充道路交通事故社会救助基金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交强险增值税补助基金支出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交强险罚款收入补助基金支出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其他农村生活救助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财政对企业职工基本养老保险基金的补助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财政对其他社会保险基金的补助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财政对失业保险基金的补助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财政对工伤保险基金的补助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其他财政对社会保险基金的补助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部队供应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财政代缴社会保险费支出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财政代缴城乡居民基本养老保险费支出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财政代缴其他社会保险费支出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卫生健康管理事务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中医(民族)医院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传染病医院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职业病防治医院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精神病医院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妇幼保健医院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其他专科医院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福利医院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处理医疗欠费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康复医院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其他公立医院支出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基层医疗卫生机构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城市社区卫生机构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其他基层医疗卫生机构支出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疾病预防控制机构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卫生监督机构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妇幼保健机构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精神卫生机构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应急救治机构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采供血机构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其他专业公共卫生机构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基本公共卫生服务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重大公共卫生服务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突发公共卫生事件应急处理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中医(民族医)药专项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其他中医药支出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公务员医疗补助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财政对职工基本医疗保险基金的补助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疾病应急救助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优抚对象医疗补助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其他优抚对象医疗支出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医疗保障政策管理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医疗保障经办事务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其他医疗保障管理事务支出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老龄卫生健康事务(款)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老龄卫生健康事务(项)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其他卫生健康支出(款)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环境保护管理事务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生态环境保护宣传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环境保护法规、规划及标准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生态环境国际合作及履约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生态环境保护行政许可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应对气候变化管理事务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其他环境保护管理事务支出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环境监测与监察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建设项目环评审查与监督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核与辐射安全监督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其他环境监测与监察支出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噪声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固体废弃物与化学品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放射源和放射性废物监管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辐射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其他污染防治支出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生物及物种资源保护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其他自然生态保护支出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天然林保护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森林管护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政策性社会性支出补助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天然林保护工程建设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停伐补助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其他天然林保护支出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退耕还林还草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退耕还林粮食折现补贴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退耕还林粮食费用补贴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其他退耕还林还草支出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风沙荒漠治理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京津风沙源治理工程建设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其他风沙荒漠治理支出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退牧还草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退牧还草工程建设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其他退牧还草支出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已垦草原退耕还草(款)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已垦草原退耕还草(项)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能源节约利用(款)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能源节约利用(项)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污染减排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生态环境监测与信息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生态环境执法监察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减排专项支出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清洁生产专项支出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其他污染减排支出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可再生能源(款)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可再生能源(项)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循环经济(款)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循环经济(项)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能源预测预警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能源战略规划与实施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能源科技装备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能源行业管理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石油储备发展管理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农村电网建设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其他能源管理事务支出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其他节能环保支出(款)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其他节能环保支出(项)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工程建设标准规范编制与监管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工程建设管理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市政公用行业市场监管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住宅建设与房地产市场监管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执业资格注册、资质审查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城乡社区规划与管理(项)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小城镇基础设施建设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城乡社区环境卫生(项)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建设市场管理与监督(款)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建设市场管理与监督(项)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农垦运行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农产品质量安全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对外交流与合作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防灾救灾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稳定农民收入补贴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农业结构调整补贴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农业生产发展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农村合作经济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农产品加工与促销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农村社会事业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农村道路建设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成品油价格改革对渔业的补贴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对高校毕业生到基层任职补助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农田建设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森林资源培育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技术推广与转化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森林生态效益补偿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自然保护区等管理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动植物保护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湿地保护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执法与监督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防沙治沙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对外合作与交流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产业化管理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林区公共支出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成品油价格改革对林业的补贴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林业草原防灾减灾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草原管理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其他林业和草原支出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水利工程运行与维护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长江黄河等流域管理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水利前期工作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水利执法监督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水土保持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水资源节约管理与保护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水质监测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水文测报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抗旱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水利技术推广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国际河流治理与管理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江河湖库水系综合整治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大中型水库移民后期扶持专项支出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水利安全监督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水利建设征地及移民支出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农村人畜饮水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南水北调工程建设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南水北调工程管理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65,586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生产发展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扶贫贷款奖补和贴息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“三西”农业建设专项补助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扶贫事业机构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对村级公益事业建设的补助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国有农场办社会职能改革补助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对村集体经济组织的补助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其他农村综合改革支出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支持农村金融机构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涉农贷款增量奖励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农业保险保费补贴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补充创业担保贷款基金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其他普惠金融发展支出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目标价格补贴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棉花目标价格补贴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其他目标价格补贴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其他农林水支出(款)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化解其他公益性乡村债务支出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其他农林水支出(项)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公路水路运输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公路和运输安全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公路还贷专项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公路运输管理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公路和运输技术标准化建设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港口设施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航道维护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船舶检验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救助打捞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内河运输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远洋运输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航标事业发展支出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水路运输管理支出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口岸建设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取消政府还贷二级公路收费专项支出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其他公路水路运输支出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铁路运输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铁路路网建设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铁路还贷专项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铁路专项运输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其他铁路运输支出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民用航空运输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机场建设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空管系统建设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民航还贷专项支出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民用航空安全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民航专项运输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其他民用航空运输支出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成品油价格改革对交通运输的补贴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对城市公交的补贴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对农村道路客运的补贴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对出租车的补贴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成品油价格改革补贴其他支出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邮政业支出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邮政普遍服务与特殊服务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其他邮政业支出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车辆购置税支出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车辆购置税用于公路等基础设施建设支出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车辆购置税用于农村公路建设支出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车辆购置税用于老旧汽车报废更新补贴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其他交通运输支出(款)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公共交通运营补助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其他交通运输支出(项)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煤炭勘探开采和洗选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石油和天然气勘探开采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黑色金属矿勘探和采选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有色金属矿勘探和采选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非金属矿勘探和采选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其他资源勘探业支出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纺织业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医药制造业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非金属矿物制品业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通信设备、计算机及其他电子设备制造业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电气机械及器材制造业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工艺品及其他制造业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石油加工、炼焦及核燃料加工业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化学原料及化学制品制造业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黑色金属冶炼及压延加工业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有色金属冶炼及压延加工业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其他制造业支出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其他建筑业支出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战备应急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无线电及信息通信监管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工程建设及运行维护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国有资产监管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国有企业监事会专项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中央企业专项管理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其他国有资产监管支出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科技型中小企业技术创新基金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中小企业发展专项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减免房租补贴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其他支持中小企业发展和管理支出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其他资源勘探工业信息等支出(款)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黄金事务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技术改造支出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中药材扶持资金支出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重点产业振兴和技术改造项目贷款贴息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其他资源勘探工业信息等支出(项)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商业流通事务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食品流通安全补贴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市场监测及信息管理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民贸企业补贴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民贸民品贷款贴息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其他商业流通事务支出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外商投资环境建设补助资金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其他商业服务业等支出(款)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服务业基础设施建设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其他商业服务业等支出(项)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安全防卫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金融部门其他行政支出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货币发行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反假币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重点金融机构监管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金融稽查与案件处理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金融行业电子化建设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从业人员资格考试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反洗钱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金融部门其他监管支出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政策性银行亏损补贴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利息费用补贴支出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补充资本金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风险基金补助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金融调控支出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中央银行亏损补贴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其他金融调控支出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重点企业贷款贴息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文化体育与传媒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自然资源规划及管理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自然资源利用与保护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自然资源社会公益服务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自然资源调查与确权登记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土地资源储备支出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地质矿产资源与环境调查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地质勘查与矿产资源管理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地质转产项目财政贴息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国外风险勘查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地质勘查基金(周转金)支出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海域与海岛管理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自然资源国际合作与海洋权益维护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极地考察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深海调查与资源开发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海港航标维护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海水淡化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无居民海岛使用金支出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海洋战略规划与预警监测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基础测绘与地理信息监管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其他自然资源事务支出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气象事务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气象探测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气象信息传输及管理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气象预报预测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气象装备保障维护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气象基础设施建设与维修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气象法规与标准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气象资金审计稽查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其他气象事务支出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其他自然资源海洋气象等支出(款)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其他自然资源海洋气象等支出(项)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廉租住房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沉陷区治理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少数民族地区游牧民定居工程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公共租赁住房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保障性住房租金补贴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老旧小区改造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住房租赁市场发展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其他保障性安居工程支出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提租补贴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城乡社区住宅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公有住房建设和维修改造支出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其他城乡社区住宅支出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财务和审计支出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国家粮油差价补贴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粮食财务挂账利息补贴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粮食财务挂账消化款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处理陈化粮补贴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粮食风险基金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粮油市场调控专项资金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设施安全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物资保管保养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其他粮油物资事务支出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天然铀能源储备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煤炭储备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其他能源储备支出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储备粮油补贴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储备粮油差价补贴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储备粮(油)库建设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最低收购价政策支出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其他粮油储备支出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重要商品储备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棉花储备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食糖储备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肉类储备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化肥储备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农药储备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边销茶储备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羊毛储备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医药储备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食盐储备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战略物资储备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应急物资储备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其他重要商品储备支出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应急管理事务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灾害风险防治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国务院安委会专项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安全生产基础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其他消防事务支出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森林消防事务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森林消防应急救援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其他森林消防事务支出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煤矿安全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煤矿安全监察事务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煤矿应急救援事务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其他煤矿安全支出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地震预测预报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地震灾害预防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地震环境探察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防震减灾信息管理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防震减灾基础管理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其他地震事务支出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自然灾害防治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地质灾害防治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森林草原防灾减灾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其他自然灾害防治支出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自然灾害救灾及恢复重建支出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自然灾害救灾补助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自然灾害灾后重建补助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其他自然灾害救灾及恢复重建支出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其他灾害防治及应急管理支出(款)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其他灾害防治及应急管理支出(项)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其他支出(类)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中央政府国内债务付息支出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中央政府国外债务付息支出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地方政府一般债务付息支出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地方政府向外国政府借款付息支出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地方政府向国际组织借款付息支出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地方政府其他一般债务付息支出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中央政府国内债务发行费用支出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中央政府国外债务发行费用支出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地方政府一般债务发行费用支出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巫溪县2021年度一般公共预算支出决算表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（按经济科目分类）</w:t>
      </w:r>
    </w:p>
    <w:tbl>
      <w:tblPr>
        <w:tblStyle w:val="12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459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523,957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因公出国(境)费用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土地征迁补偿和安置支出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150,911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其他对事业单位补助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对企业资本性支出(一)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对企业资本性支出(二)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对社会保险基金补助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对机关事业单位职业年金的补助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巫溪县2021年度政府性基金预算收支决算表</w:t>
      </w:r>
    </w:p>
    <w:tbl>
      <w:tblPr>
        <w:tblStyle w:val="12"/>
        <w:tblW w:w="15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0"/>
        <w:gridCol w:w="635"/>
        <w:gridCol w:w="534"/>
        <w:gridCol w:w="534"/>
        <w:gridCol w:w="635"/>
        <w:gridCol w:w="635"/>
        <w:gridCol w:w="730"/>
        <w:gridCol w:w="3730"/>
        <w:gridCol w:w="912"/>
        <w:gridCol w:w="758"/>
        <w:gridCol w:w="758"/>
        <w:gridCol w:w="758"/>
        <w:gridCol w:w="758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4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二、农业土地开发资金收入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-63.2%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三、国有土地使用权出让收入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四、大中型水库库区基金收入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五、彩票公益金收入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六、小型水库移民扶助基金收入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七、污水处理费收入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八、彩票发行机构和彩票销售机构的业务费用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九、城市基础设施配套费收入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十、其他政府性基金收入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十、抗疫特别国债安排的支出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-69.6%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二、上年结余收入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三、调入资金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四、债务转贷收入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地方政府专项债务转贷收入(新增）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地方政府专项债务还本支出（再融资）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地方政府专项债务转贷收入(再融资）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-92.8%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巫溪县2021年度国有资本经营预算收支决算表</w:t>
      </w:r>
    </w:p>
    <w:tbl>
      <w:tblPr>
        <w:tblStyle w:val="12"/>
        <w:tblW w:w="16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802"/>
        <w:gridCol w:w="791"/>
        <w:gridCol w:w="791"/>
        <w:gridCol w:w="1097"/>
        <w:gridCol w:w="791"/>
        <w:gridCol w:w="779"/>
        <w:gridCol w:w="3430"/>
        <w:gridCol w:w="802"/>
        <w:gridCol w:w="791"/>
        <w:gridCol w:w="791"/>
        <w:gridCol w:w="1003"/>
        <w:gridCol w:w="79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2020年决算数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较上年决算数增长%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一、利润收入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一、解决历史遗留问题及改革成本支出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二、股利、股息收入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“三供一业”移交补助支出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三、产权转让收入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其他解决历史遗留问题及改革成本支出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四、清算收入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二、国有企业资本金注入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支持科技进步支出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其他国有企业资本金注入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三、国有企业政策性补贴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国有企业政策性补贴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四、金融国有资本经营预算支出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二、上年结余收入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巫溪县2021年度地方政府债务限额及余额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情况表</w:t>
      </w:r>
    </w:p>
    <w:tbl>
      <w:tblPr>
        <w:tblStyle w:val="12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365"/>
        <w:gridCol w:w="1365"/>
        <w:gridCol w:w="1365"/>
        <w:gridCol w:w="1365"/>
        <w:gridCol w:w="136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区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2021年地方政府债务限额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2021年地方政府债务余额决算数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29.95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headerReference r:id="rId4" w:type="even"/>
      <w:footerReference r:id="rId6" w:type="even"/>
      <w:pgSz w:w="11906" w:h="16838"/>
      <w:pgMar w:top="2098" w:right="1531" w:bottom="2154" w:left="1531" w:header="85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57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uJkRd8BAAC/AwAADgAAAGRycy9lMm9Eb2MueG1srVPBjtMwEL0j8Q+W&#10;7zTZI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lZ05YGvj5x/fzz9/nX9/Y&#10;8x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uJkR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JZlrN8BAAC/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zpywNPDz92/nH7/OP7+y&#10;65ukT+9DRWn3nhLj8AoG2prZH8iZaA8t2vQnQozipO7poq4aIpPp0mq5WpUUkhSbD4RfPFz3GOIb&#10;BZYlo+ZI48uqiuO7EMfUOSVVc3CnjckjNO4vB2EmT5F6H3tMVhx2w0RoB82J+NA7oDod4BfOetqC&#10;mjtaes7MW0cip4WZDZyN3WwIJ+lizSNno/k6jot18Kj3XV611FTwLw+ROs0EUhtj7ak7mmuWYNrB&#10;tDh/nnPWw7v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JZl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DI0Y2Q2MDZmYmJiODIyYzdjZjJiM2ZmMDI5NDAifQ=="/>
  </w:docVars>
  <w:rsids>
    <w:rsidRoot w:val="007D55DE"/>
    <w:rsid w:val="00020B5D"/>
    <w:rsid w:val="00021044"/>
    <w:rsid w:val="00024D3A"/>
    <w:rsid w:val="00025758"/>
    <w:rsid w:val="000328B9"/>
    <w:rsid w:val="000A50A7"/>
    <w:rsid w:val="000E0230"/>
    <w:rsid w:val="000E2D67"/>
    <w:rsid w:val="000E71D7"/>
    <w:rsid w:val="00104B49"/>
    <w:rsid w:val="001067D1"/>
    <w:rsid w:val="00134476"/>
    <w:rsid w:val="00136559"/>
    <w:rsid w:val="0013764A"/>
    <w:rsid w:val="001718C9"/>
    <w:rsid w:val="00181FB5"/>
    <w:rsid w:val="00183B7F"/>
    <w:rsid w:val="001909A6"/>
    <w:rsid w:val="001D1001"/>
    <w:rsid w:val="001D7DE6"/>
    <w:rsid w:val="001F26C1"/>
    <w:rsid w:val="00206017"/>
    <w:rsid w:val="00214ACE"/>
    <w:rsid w:val="00217F57"/>
    <w:rsid w:val="00221D33"/>
    <w:rsid w:val="00226551"/>
    <w:rsid w:val="00230CBA"/>
    <w:rsid w:val="00260785"/>
    <w:rsid w:val="002776F5"/>
    <w:rsid w:val="00291630"/>
    <w:rsid w:val="002A014A"/>
    <w:rsid w:val="002A1286"/>
    <w:rsid w:val="002A4E39"/>
    <w:rsid w:val="002C1DA9"/>
    <w:rsid w:val="002C6410"/>
    <w:rsid w:val="002F6843"/>
    <w:rsid w:val="002F6B4B"/>
    <w:rsid w:val="0035257F"/>
    <w:rsid w:val="00364F0B"/>
    <w:rsid w:val="003777B5"/>
    <w:rsid w:val="00393D1D"/>
    <w:rsid w:val="003940A3"/>
    <w:rsid w:val="0039576A"/>
    <w:rsid w:val="003A2084"/>
    <w:rsid w:val="003B368C"/>
    <w:rsid w:val="003D1FFF"/>
    <w:rsid w:val="003F2CC3"/>
    <w:rsid w:val="0040350B"/>
    <w:rsid w:val="00405AC5"/>
    <w:rsid w:val="0041085A"/>
    <w:rsid w:val="00411B6D"/>
    <w:rsid w:val="00441F2C"/>
    <w:rsid w:val="0044470C"/>
    <w:rsid w:val="00444F1A"/>
    <w:rsid w:val="00444F82"/>
    <w:rsid w:val="00457261"/>
    <w:rsid w:val="0046058C"/>
    <w:rsid w:val="00467E15"/>
    <w:rsid w:val="004702B1"/>
    <w:rsid w:val="00471357"/>
    <w:rsid w:val="0047252D"/>
    <w:rsid w:val="004811E8"/>
    <w:rsid w:val="00495550"/>
    <w:rsid w:val="004A34D1"/>
    <w:rsid w:val="004A37F9"/>
    <w:rsid w:val="004A7DB4"/>
    <w:rsid w:val="004C43FD"/>
    <w:rsid w:val="004E3D1E"/>
    <w:rsid w:val="005017B6"/>
    <w:rsid w:val="00504170"/>
    <w:rsid w:val="00532359"/>
    <w:rsid w:val="00536101"/>
    <w:rsid w:val="0053638E"/>
    <w:rsid w:val="005518E9"/>
    <w:rsid w:val="00552281"/>
    <w:rsid w:val="00560EC9"/>
    <w:rsid w:val="00570761"/>
    <w:rsid w:val="00570FF7"/>
    <w:rsid w:val="00571EEC"/>
    <w:rsid w:val="005742A3"/>
    <w:rsid w:val="005907EF"/>
    <w:rsid w:val="005975EB"/>
    <w:rsid w:val="005A2D70"/>
    <w:rsid w:val="005B2FD6"/>
    <w:rsid w:val="0061198C"/>
    <w:rsid w:val="0061468C"/>
    <w:rsid w:val="0062253B"/>
    <w:rsid w:val="00642AC6"/>
    <w:rsid w:val="00651C88"/>
    <w:rsid w:val="006525AC"/>
    <w:rsid w:val="0066261F"/>
    <w:rsid w:val="006641B1"/>
    <w:rsid w:val="006721CD"/>
    <w:rsid w:val="00675DFF"/>
    <w:rsid w:val="00677D30"/>
    <w:rsid w:val="006933E6"/>
    <w:rsid w:val="006A2429"/>
    <w:rsid w:val="006C5FFD"/>
    <w:rsid w:val="006E7F8C"/>
    <w:rsid w:val="00706C57"/>
    <w:rsid w:val="0074659A"/>
    <w:rsid w:val="00746D44"/>
    <w:rsid w:val="00760194"/>
    <w:rsid w:val="0076659E"/>
    <w:rsid w:val="00770B8B"/>
    <w:rsid w:val="007853F4"/>
    <w:rsid w:val="00785663"/>
    <w:rsid w:val="007919D6"/>
    <w:rsid w:val="007B465C"/>
    <w:rsid w:val="007D55DE"/>
    <w:rsid w:val="007D76F5"/>
    <w:rsid w:val="007D79AD"/>
    <w:rsid w:val="007D7B11"/>
    <w:rsid w:val="007E45B7"/>
    <w:rsid w:val="007E5FF1"/>
    <w:rsid w:val="007F6A5C"/>
    <w:rsid w:val="007F76B8"/>
    <w:rsid w:val="007F7B46"/>
    <w:rsid w:val="00800573"/>
    <w:rsid w:val="00805470"/>
    <w:rsid w:val="00810D08"/>
    <w:rsid w:val="00816FD8"/>
    <w:rsid w:val="00824C97"/>
    <w:rsid w:val="008252DF"/>
    <w:rsid w:val="0083023A"/>
    <w:rsid w:val="00834E4C"/>
    <w:rsid w:val="00884328"/>
    <w:rsid w:val="00886969"/>
    <w:rsid w:val="00892A95"/>
    <w:rsid w:val="008A70A6"/>
    <w:rsid w:val="008D6473"/>
    <w:rsid w:val="008E3574"/>
    <w:rsid w:val="008E5387"/>
    <w:rsid w:val="008F31AF"/>
    <w:rsid w:val="008F6687"/>
    <w:rsid w:val="00901F8F"/>
    <w:rsid w:val="00926FBE"/>
    <w:rsid w:val="0093025F"/>
    <w:rsid w:val="009304EA"/>
    <w:rsid w:val="00933C0F"/>
    <w:rsid w:val="00945BC3"/>
    <w:rsid w:val="0094773A"/>
    <w:rsid w:val="00962271"/>
    <w:rsid w:val="00963510"/>
    <w:rsid w:val="009710BF"/>
    <w:rsid w:val="00973C33"/>
    <w:rsid w:val="00976F4B"/>
    <w:rsid w:val="00980639"/>
    <w:rsid w:val="00983661"/>
    <w:rsid w:val="00985815"/>
    <w:rsid w:val="009A1F9C"/>
    <w:rsid w:val="009B2A3D"/>
    <w:rsid w:val="009C657E"/>
    <w:rsid w:val="009D53AC"/>
    <w:rsid w:val="009E279A"/>
    <w:rsid w:val="009E3650"/>
    <w:rsid w:val="009F04AD"/>
    <w:rsid w:val="009F4E14"/>
    <w:rsid w:val="00A030B5"/>
    <w:rsid w:val="00A12492"/>
    <w:rsid w:val="00A1337A"/>
    <w:rsid w:val="00A17CD7"/>
    <w:rsid w:val="00A2706E"/>
    <w:rsid w:val="00A31334"/>
    <w:rsid w:val="00A378C5"/>
    <w:rsid w:val="00A525D0"/>
    <w:rsid w:val="00A63A4A"/>
    <w:rsid w:val="00A85684"/>
    <w:rsid w:val="00A90365"/>
    <w:rsid w:val="00AB1623"/>
    <w:rsid w:val="00AD671A"/>
    <w:rsid w:val="00B01075"/>
    <w:rsid w:val="00B26473"/>
    <w:rsid w:val="00B273ED"/>
    <w:rsid w:val="00B311E4"/>
    <w:rsid w:val="00B33E3F"/>
    <w:rsid w:val="00B34010"/>
    <w:rsid w:val="00B36537"/>
    <w:rsid w:val="00B36F0F"/>
    <w:rsid w:val="00B444D3"/>
    <w:rsid w:val="00B50E4B"/>
    <w:rsid w:val="00B558C7"/>
    <w:rsid w:val="00B55F5D"/>
    <w:rsid w:val="00B60B73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65408"/>
    <w:rsid w:val="00C70AF0"/>
    <w:rsid w:val="00C74608"/>
    <w:rsid w:val="00C94E50"/>
    <w:rsid w:val="00C95094"/>
    <w:rsid w:val="00CA19F3"/>
    <w:rsid w:val="00CA30C2"/>
    <w:rsid w:val="00CA680D"/>
    <w:rsid w:val="00CB553C"/>
    <w:rsid w:val="00CC0396"/>
    <w:rsid w:val="00CD20FD"/>
    <w:rsid w:val="00D0341E"/>
    <w:rsid w:val="00D27D16"/>
    <w:rsid w:val="00D7257D"/>
    <w:rsid w:val="00D7688D"/>
    <w:rsid w:val="00D771AD"/>
    <w:rsid w:val="00DA2BDD"/>
    <w:rsid w:val="00DA3C5D"/>
    <w:rsid w:val="00DB03D0"/>
    <w:rsid w:val="00DB2479"/>
    <w:rsid w:val="00DC204C"/>
    <w:rsid w:val="00DD503B"/>
    <w:rsid w:val="00DF2CB7"/>
    <w:rsid w:val="00E02E4D"/>
    <w:rsid w:val="00E066F1"/>
    <w:rsid w:val="00E0690F"/>
    <w:rsid w:val="00E3790E"/>
    <w:rsid w:val="00E379F2"/>
    <w:rsid w:val="00E43A17"/>
    <w:rsid w:val="00E87AB0"/>
    <w:rsid w:val="00EB52C9"/>
    <w:rsid w:val="00EE7F1C"/>
    <w:rsid w:val="00EF17D5"/>
    <w:rsid w:val="00EF5B14"/>
    <w:rsid w:val="00F01D79"/>
    <w:rsid w:val="00F040D9"/>
    <w:rsid w:val="00F05ADF"/>
    <w:rsid w:val="00F13FEF"/>
    <w:rsid w:val="00F22422"/>
    <w:rsid w:val="00F439ED"/>
    <w:rsid w:val="00F73DC2"/>
    <w:rsid w:val="00F803C9"/>
    <w:rsid w:val="00F93725"/>
    <w:rsid w:val="00F9581D"/>
    <w:rsid w:val="00FC06E2"/>
    <w:rsid w:val="00FC1643"/>
    <w:rsid w:val="00FD7116"/>
    <w:rsid w:val="00FD747E"/>
    <w:rsid w:val="00FE3B1E"/>
    <w:rsid w:val="00FE6528"/>
    <w:rsid w:val="00FF14CB"/>
    <w:rsid w:val="00FF3886"/>
    <w:rsid w:val="00FF7496"/>
    <w:rsid w:val="04845033"/>
    <w:rsid w:val="057B52C4"/>
    <w:rsid w:val="064D296A"/>
    <w:rsid w:val="06DC36F9"/>
    <w:rsid w:val="077E528C"/>
    <w:rsid w:val="086B413C"/>
    <w:rsid w:val="0AC65B22"/>
    <w:rsid w:val="0E052F6D"/>
    <w:rsid w:val="0FCB55D4"/>
    <w:rsid w:val="11F957C5"/>
    <w:rsid w:val="130B684C"/>
    <w:rsid w:val="139A2E06"/>
    <w:rsid w:val="16BA2B90"/>
    <w:rsid w:val="16DD6053"/>
    <w:rsid w:val="1705403C"/>
    <w:rsid w:val="17397FBA"/>
    <w:rsid w:val="17DB5660"/>
    <w:rsid w:val="182F1159"/>
    <w:rsid w:val="1881265A"/>
    <w:rsid w:val="19DA7CA2"/>
    <w:rsid w:val="1A6E3354"/>
    <w:rsid w:val="1B395E89"/>
    <w:rsid w:val="1BEC0CCE"/>
    <w:rsid w:val="1DB22DCB"/>
    <w:rsid w:val="1F5E077A"/>
    <w:rsid w:val="20D66A2B"/>
    <w:rsid w:val="2116400B"/>
    <w:rsid w:val="22893D70"/>
    <w:rsid w:val="23466393"/>
    <w:rsid w:val="23D80A1D"/>
    <w:rsid w:val="2478739A"/>
    <w:rsid w:val="277F4D7F"/>
    <w:rsid w:val="280A165B"/>
    <w:rsid w:val="28F27A29"/>
    <w:rsid w:val="2A351A79"/>
    <w:rsid w:val="2D1F3706"/>
    <w:rsid w:val="2E1B1EB0"/>
    <w:rsid w:val="2E6E1307"/>
    <w:rsid w:val="2EBE5D55"/>
    <w:rsid w:val="30C3428F"/>
    <w:rsid w:val="30D16697"/>
    <w:rsid w:val="31D36682"/>
    <w:rsid w:val="34781D20"/>
    <w:rsid w:val="34ED2079"/>
    <w:rsid w:val="351D5ADC"/>
    <w:rsid w:val="37C32EEE"/>
    <w:rsid w:val="38D72162"/>
    <w:rsid w:val="39762BA5"/>
    <w:rsid w:val="39D27D88"/>
    <w:rsid w:val="3A941E29"/>
    <w:rsid w:val="3AF92D30"/>
    <w:rsid w:val="3CF14C6C"/>
    <w:rsid w:val="3D524A6F"/>
    <w:rsid w:val="3D894412"/>
    <w:rsid w:val="3F0803ED"/>
    <w:rsid w:val="41430CE8"/>
    <w:rsid w:val="41890FFC"/>
    <w:rsid w:val="41C42BFA"/>
    <w:rsid w:val="42284F89"/>
    <w:rsid w:val="4237314A"/>
    <w:rsid w:val="42710127"/>
    <w:rsid w:val="43481988"/>
    <w:rsid w:val="43B05C7F"/>
    <w:rsid w:val="44D0046F"/>
    <w:rsid w:val="45380EAC"/>
    <w:rsid w:val="46A91607"/>
    <w:rsid w:val="46AE3656"/>
    <w:rsid w:val="46C64F6C"/>
    <w:rsid w:val="48766B2C"/>
    <w:rsid w:val="4DD764AE"/>
    <w:rsid w:val="505B6149"/>
    <w:rsid w:val="52325E3C"/>
    <w:rsid w:val="52F97821"/>
    <w:rsid w:val="55054415"/>
    <w:rsid w:val="56047AEC"/>
    <w:rsid w:val="57AF1329"/>
    <w:rsid w:val="599B5520"/>
    <w:rsid w:val="5B38375C"/>
    <w:rsid w:val="5B8E5BD6"/>
    <w:rsid w:val="5CF62266"/>
    <w:rsid w:val="600F09F1"/>
    <w:rsid w:val="61447D79"/>
    <w:rsid w:val="64DA62FC"/>
    <w:rsid w:val="663507FF"/>
    <w:rsid w:val="66923925"/>
    <w:rsid w:val="66CA4EB2"/>
    <w:rsid w:val="683C4903"/>
    <w:rsid w:val="69D82385"/>
    <w:rsid w:val="6B9E7732"/>
    <w:rsid w:val="6BAE3467"/>
    <w:rsid w:val="6C34318D"/>
    <w:rsid w:val="6FEF7D7E"/>
    <w:rsid w:val="70181864"/>
    <w:rsid w:val="711927B0"/>
    <w:rsid w:val="712B54E5"/>
    <w:rsid w:val="7148567C"/>
    <w:rsid w:val="720A6CF7"/>
    <w:rsid w:val="728E7710"/>
    <w:rsid w:val="75447ED5"/>
    <w:rsid w:val="754F1203"/>
    <w:rsid w:val="76C702D1"/>
    <w:rsid w:val="7769295A"/>
    <w:rsid w:val="7A664A9F"/>
    <w:rsid w:val="7D253F87"/>
    <w:rsid w:val="7E0A5A87"/>
    <w:rsid w:val="7E3852EF"/>
    <w:rsid w:val="7FC24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620" w:lineRule="exact"/>
      <w:ind w:firstLine="200" w:firstLineChars="200"/>
      <w:outlineLvl w:val="0"/>
    </w:pPr>
    <w:rPr>
      <w:rFonts w:ascii="Calibri" w:hAnsi="Calibri" w:eastAsia="黑体"/>
      <w:bCs/>
      <w:kern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9"/>
    <w:qFormat/>
    <w:uiPriority w:val="0"/>
    <w:rPr>
      <w:rFonts w:ascii="宋体" w:hAnsi="宋体" w:eastAsia="宋体"/>
      <w:sz w:val="20"/>
      <w:szCs w:val="20"/>
      <w:lang w:val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Plain Text"/>
    <w:basedOn w:val="1"/>
    <w:link w:val="28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32"/>
    <w:qFormat/>
    <w:uiPriority w:val="0"/>
    <w:rPr>
      <w:sz w:val="18"/>
      <w:szCs w:val="18"/>
    </w:rPr>
  </w:style>
  <w:style w:type="paragraph" w:styleId="8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1">
    <w:name w:val="Title"/>
    <w:basedOn w:val="1"/>
    <w:next w:val="1"/>
    <w:link w:val="22"/>
    <w:qFormat/>
    <w:uiPriority w:val="0"/>
    <w:pPr>
      <w:spacing w:line="620" w:lineRule="exact"/>
      <w:jc w:val="center"/>
      <w:outlineLvl w:val="0"/>
    </w:pPr>
    <w:rPr>
      <w:rFonts w:ascii="Cambria" w:hAnsi="Cambria" w:eastAsia="小标宋"/>
      <w:bCs/>
      <w:kern w:val="0"/>
      <w:sz w:val="44"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"/>
    <w:link w:val="4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18">
    <w:name w:val="页眉 字符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19">
    <w:name w:val="批注框文本 Char Char"/>
    <w:link w:val="20"/>
    <w:qFormat/>
    <w:uiPriority w:val="0"/>
    <w:rPr>
      <w:sz w:val="18"/>
      <w:szCs w:val="18"/>
    </w:rPr>
  </w:style>
  <w:style w:type="paragraph" w:customStyle="1" w:styleId="20">
    <w:name w:val="Balloon Text"/>
    <w:basedOn w:val="1"/>
    <w:link w:val="19"/>
    <w:qFormat/>
    <w:uiPriority w:val="0"/>
    <w:rPr>
      <w:rFonts w:eastAsia="宋体"/>
      <w:kern w:val="0"/>
      <w:sz w:val="18"/>
      <w:szCs w:val="18"/>
    </w:rPr>
  </w:style>
  <w:style w:type="character" w:customStyle="1" w:styleId="21">
    <w:name w:val="apple-style-span"/>
    <w:qFormat/>
    <w:uiPriority w:val="0"/>
  </w:style>
  <w:style w:type="character" w:customStyle="1" w:styleId="22">
    <w:name w:val="标题 字符"/>
    <w:link w:val="11"/>
    <w:qFormat/>
    <w:uiPriority w:val="0"/>
    <w:rPr>
      <w:rFonts w:ascii="Cambria" w:hAnsi="Cambria" w:eastAsia="小标宋"/>
      <w:bCs/>
      <w:sz w:val="44"/>
      <w:szCs w:val="32"/>
    </w:rPr>
  </w:style>
  <w:style w:type="character" w:customStyle="1" w:styleId="23">
    <w:name w:val="15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4">
    <w:name w:val="日期 字符"/>
    <w:link w:val="6"/>
    <w:qFormat/>
    <w:uiPriority w:val="0"/>
    <w:rPr>
      <w:rFonts w:eastAsia="方正仿宋_GBK"/>
      <w:kern w:val="2"/>
      <w:sz w:val="32"/>
      <w:szCs w:val="24"/>
    </w:rPr>
  </w:style>
  <w:style w:type="character" w:customStyle="1" w:styleId="25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ca-1"/>
    <w:qFormat/>
    <w:uiPriority w:val="0"/>
    <w:rPr>
      <w:rFonts w:cs="Times New Roman"/>
    </w:rPr>
  </w:style>
  <w:style w:type="character" w:customStyle="1" w:styleId="27">
    <w:name w:val="font2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纯文本 字符"/>
    <w:link w:val="5"/>
    <w:qFormat/>
    <w:uiPriority w:val="0"/>
    <w:rPr>
      <w:rFonts w:ascii="宋体" w:hAnsi="Courier New" w:cs="Century"/>
      <w:szCs w:val="21"/>
    </w:rPr>
  </w:style>
  <w:style w:type="character" w:customStyle="1" w:styleId="29">
    <w:name w:val="font8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lemmatitleh12"/>
    <w:qFormat/>
    <w:uiPriority w:val="0"/>
  </w:style>
  <w:style w:type="character" w:customStyle="1" w:styleId="31">
    <w:name w:val="font1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批注框文本 字符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3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页脚 字符"/>
    <w:link w:val="8"/>
    <w:qFormat/>
    <w:uiPriority w:val="0"/>
    <w:rPr>
      <w:rFonts w:eastAsia="方正仿宋_GBK"/>
      <w:kern w:val="2"/>
      <w:sz w:val="18"/>
      <w:szCs w:val="18"/>
    </w:rPr>
  </w:style>
  <w:style w:type="character" w:customStyle="1" w:styleId="36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页脚 Char Char"/>
    <w:qFormat/>
    <w:uiPriority w:val="0"/>
    <w:rPr>
      <w:rFonts w:eastAsia="方正仿宋_GBK"/>
      <w:kern w:val="2"/>
      <w:sz w:val="18"/>
    </w:rPr>
  </w:style>
  <w:style w:type="character" w:customStyle="1" w:styleId="39">
    <w:name w:val="正文文本 字符"/>
    <w:link w:val="2"/>
    <w:qFormat/>
    <w:uiPriority w:val="0"/>
    <w:rPr>
      <w:rFonts w:ascii="宋体" w:hAnsi="宋体" w:cs="宋体"/>
      <w:kern w:val="2"/>
      <w:lang w:val="zh-CN"/>
    </w:rPr>
  </w:style>
  <w:style w:type="paragraph" w:customStyle="1" w:styleId="40">
    <w:name w:val="Char"/>
    <w:basedOn w:val="1"/>
    <w:qFormat/>
    <w:uiPriority w:val="0"/>
    <w:pPr>
      <w:widowControl/>
      <w:jc w:val="left"/>
    </w:pPr>
    <w:rPr>
      <w:rFonts w:eastAsia="宋体"/>
      <w:sz w:val="21"/>
    </w:rPr>
  </w:style>
  <w:style w:type="paragraph" w:customStyle="1" w:styleId="41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42">
    <w:name w:val=" Char"/>
    <w:basedOn w:val="1"/>
    <w:qFormat/>
    <w:uiPriority w:val="0"/>
  </w:style>
  <w:style w:type="paragraph" w:customStyle="1" w:styleId="43">
    <w:name w:val=" Char Char2"/>
    <w:basedOn w:val="1"/>
    <w:qFormat/>
    <w:uiPriority w:val="0"/>
  </w:style>
  <w:style w:type="paragraph" w:styleId="4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No Spacing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样式 样式 正文首行缩进 + 首行缩进:  2 字符1 + 四号 首行缩进:  2 字符"/>
    <w:basedOn w:val="1"/>
    <w:qFormat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customStyle="1" w:styleId="47">
    <w:name w:val="Body text|3"/>
    <w:basedOn w:val="1"/>
    <w:qFormat/>
    <w:uiPriority w:val="0"/>
    <w:pPr>
      <w:spacing w:after="3430"/>
      <w:jc w:val="center"/>
    </w:pPr>
    <w:rPr>
      <w:rFonts w:ascii="宋体" w:hAnsi="宋体" w:cs="宋体"/>
      <w:sz w:val="52"/>
      <w:szCs w:val="52"/>
    </w:rPr>
  </w:style>
  <w:style w:type="paragraph" w:customStyle="1" w:styleId="4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9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17587</Words>
  <Characters>28895</Characters>
  <Lines>185</Lines>
  <Paragraphs>52</Paragraphs>
  <TotalTime>145</TotalTime>
  <ScaleCrop>false</ScaleCrop>
  <LinksUpToDate>false</LinksUpToDate>
  <CharactersWithSpaces>34126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2020-08-18T08:57:00Z</dcterms:created>
  <dc:creator>we</dc:creator>
  <cp:lastModifiedBy>Mr.Yuan</cp:lastModifiedBy>
  <cp:lastPrinted>2022-08-04T08:36:00Z</cp:lastPrinted>
  <dcterms:modified xsi:type="dcterms:W3CDTF">2022-09-20T02:10:09Z</dcterms:modified>
  <dc:title>巫溪县人民政府办公室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1236432691224BEC9AE0D881DF44A8FC</vt:lpwstr>
  </property>
</Properties>
</file>