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1264"/>
        </w:tabs>
        <w:rPr>
          <w:rFonts w:hint="eastAsia"/>
        </w:rPr>
      </w:pPr>
      <w:r>
        <w:tab/>
      </w: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center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rPr>
          <w:rFonts w:hint="eastAsia" w:ascii="Times New Roman" w:hAnsi="Times New Roman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/>
        <w:jc w:val="center"/>
        <w:textAlignment w:val="auto"/>
        <w:rPr>
          <w:rFonts w:hint="default" w:ascii="Times New Roman" w:hAnsi="Times New Roman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巫溪县</w:t>
      </w:r>
      <w:r>
        <w:rPr>
          <w:rFonts w:hint="eastAsia" w:ascii="Times New Roman" w:hAnsi="Times New Roman" w:eastAsia="方正小标宋_GBK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Times New Roman" w:hAnsi="Times New Roman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巫溪县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2024年安全生产与防灾减灾救灾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0" w:leftChars="0" w:right="0"/>
        <w:jc w:val="center"/>
        <w:textAlignment w:val="auto"/>
        <w:rPr>
          <w:rFonts w:hint="eastAsia" w:ascii="Times New Roman" w:hAnsi="Times New Roman" w:eastAsia="方正小标宋_GBK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工作要点</w:t>
      </w:r>
      <w:r>
        <w:rPr>
          <w:rFonts w:hint="eastAsia" w:ascii="Times New Roman" w:hAnsi="Times New Roman" w:eastAsia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小标宋_GBK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/>
        <w:jc w:val="center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巫溪府发〔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cs="Times New Roman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各乡镇人民政府、街道办事处，县政府有关部门，有关单位：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32" w:firstLineChars="200"/>
        <w:jc w:val="both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巫溪县2024年安全生产与防灾减灾救灾工作要点</w:t>
      </w:r>
      <w:r>
        <w:rPr>
          <w:rFonts w:hint="eastAsia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32" w:firstLineChars="200"/>
        <w:jc w:val="both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           巫溪县人民政府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巫溪县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2024年安全生产与防灾减灾救灾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7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工作要点</w:t>
      </w:r>
    </w:p>
    <w:p>
      <w:pPr>
        <w:spacing w:line="578" w:lineRule="exac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为加强</w:t>
      </w:r>
      <w:r>
        <w:rPr>
          <w:rFonts w:hint="eastAsia" w:ascii="Times New Roman" w:hAnsi="Times New Roman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Times New Roman" w:hAnsi="Times New Roman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安全生产</w:t>
      </w:r>
      <w:r>
        <w:rPr>
          <w:rFonts w:hint="eastAsia" w:ascii="Times New Roman" w:hAnsi="Times New Roman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防灾减灾救灾工作</w:t>
      </w:r>
      <w:r>
        <w:rPr>
          <w:rFonts w:hint="eastAsia" w:ascii="Times New Roman" w:hAnsi="Times New Roman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的统筹指导</w:t>
      </w: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，推进高质量发展和高水平安全良性互动，</w:t>
      </w:r>
      <w:r>
        <w:rPr>
          <w:rFonts w:hint="eastAsia" w:ascii="Times New Roman" w:hAnsi="Times New Roman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Style w:val="25"/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《重庆市人民政府关于印发2024年全市安全生产与防灾减灾救灾工作要点的通知》（渝府发〔2024〕1号）精神和县委、县政府关于安全生产和自然灾害防治工作要求，</w:t>
      </w: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制定本工作要点。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以习近平新时代中国特色社会主义思想为指导，深入学习贯彻习近平总书记关于应急管理的重要论述，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深入贯彻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党的二十大和二十届二中全会精神，全面落实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、县关于安全生产和自然灾害防治工作部署要求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，坚持人民至上、生命至上</w:t>
      </w:r>
      <w:r>
        <w:rPr>
          <w:rFonts w:hint="eastAsia" w:ascii="Times New Roman" w:hAnsi="Times New Roman"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以高水平安全助力高质量发展。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突出稳进增效、除险固安、改革突破、惠民强企工作导向，以实现安全生产“遏重大、降较大、减总量”、自然灾害“不</w:t>
      </w:r>
      <w:r>
        <w:rPr>
          <w:rFonts w:hint="eastAsia"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死人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少伤人、少损失”为目标，围绕“统、防、救”三个重点，完善安全责任、法规制度、基层应急、风险防范、救援救灾和数字应急六个体系，提升综合统筹、监管执法、基层治理、事前预防、应对处置、整体智治六个能力，扎实推进安全生产治本攻坚三年行动，固本强基推进安全生产与防灾减灾救灾各项工作，杜绝重特大事故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因灾群死群伤责任事件发生。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（一）完善安全责任体系，提升综合统筹能力。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．夯实党政领导干部责任。坚持清单化履职，制定党政领导干部责任清单和年度重点任务清单。以发现和解决问题为重要履职标准，健全完善领导干部半年述职报告制度。聚焦关键时段、重要节点、重大问题、重大险情等事项，建立完善党政领导干部统筹调度、专题研究等制度</w:t>
      </w:r>
      <w:r>
        <w:rPr>
          <w:rFonts w:hint="eastAsia" w:ascii="Times New Roman" w:hAnsi="Times New Roman"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加强履职监督和考核，强化结果运用，着力解决作风不严不实等问题。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2．加大统筹协调力度。加大安委会、减灾委统筹抓总力度，推进综合监管规范化建设和能力提升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抓好工作安排部署、部门职责梳理，着力解决重点行业领域、重点区域、重点企业、</w:t>
      </w:r>
      <w:r>
        <w:rPr>
          <w:rFonts w:hint="eastAsia" w:ascii="Times New Roman" w:hAnsi="Times New Roman"/>
          <w:color w:val="000000" w:themeColor="text1"/>
          <w:spacing w:val="1"/>
          <w14:textFill>
            <w14:solidFill>
              <w14:schemeClr w14:val="tx1"/>
            </w14:solidFill>
          </w14:textFill>
        </w:rPr>
        <w:t>重要环节存在的问题。充分发挥各专项办公室牵头部门专业优势，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赋予其部分考核、约谈等职责。发挥专项指挥部组织协调、会商研判、调度指挥作用，完善灾前递进式预报预警、灾中预警响应联动、灾后“点对点”指导恢复重建机制。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3．落实部门监管责任。聚焦企业安全生产主体责任，完善综合监管、行业监管、专业监管和属地监管共同发力的监管体系，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形成监管合力。按照“三管三必须”“谁主管谁负责、谁审批谁负责”以及业务相近原则，持续厘清新经济业态</w:t>
      </w:r>
      <w:r>
        <w:rPr>
          <w:rFonts w:hint="eastAsia" w:ascii="Times New Roman" w:hAnsi="Times New Roman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和机构改革后部门安全监管职责，消除监管盲区。自然灾害防治部门要发挥好专业优势，进一步强化自然灾害防灾减灾工作。对工程建设活动引发的地质灾害风险，按照“谁引发谁治理”的原则，落实防治责任。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4．强化企业主体责任。强化企业主要负责人和实际控制人安全责任和履职评估，加强安全生产标准化建设，全面建立安全风险分级管控和隐患排查治理双重预防机制。以一线岗位人员为基础、技术负责人为重点，强化全员安全生产责任制落实。健全监管责任人公示和履职评估制度，统一公示“行政负责、行业监管、专业监管、企业（单位）”4个责任人，对“一企多牌”实施整合。健全重大风险管控责任人和措施公示制度，在风险较大的场所、设施和部位，统一公示分管负责人、部门负责人、直接责任人和风险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（二）完善法规制度体系，提升监管执法能力。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规范监管执法。运用“应急监管执法”平台对监管执法实施全过程监督，实现“一网统管、上下衔接、分级负责、提高效能”。加大对企业主要负责人履职行为的监督执法力度，围绕重大风险、重大隐患和突出违法行为编制执法计划和检查方案，严格开展检查诊断、行政处罚、整改复查“三部曲”闭环执法，依法采取联合惩戒、“一案双罚”等措施，严厉查处安全生产违法行为。坚持执法检查、问题查找、经济处罚“三个强度”通报，落实安全生产“行刑衔接”制度，严惩严重危险作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加强帮扶服务。全面推进严格规范公正文明执法，营造公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平的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竞争环境。开展企业主要负责人培训，组织“企业安全管理经验交流大讲堂”活动。创新小微企业安全治理模式，推动核心企业与产业链企业、行业区域内企业互助协作。大力发展安全生产专业技术服务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，鼓励企业购买技术服务，推动企业购买安全生产责任保险，落实对标杆企业在安全生产责任保险和工伤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险费率、信贷信用评级等方面的激励政策。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严肃事故调查和灾害调查评估。</w:t>
      </w:r>
      <w:r>
        <w:rPr>
          <w:rFonts w:hint="eastAsia" w:ascii="Times New Roman" w:hAnsi="Times New Roman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认真执行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事故调查和灾害</w:t>
      </w:r>
      <w:r>
        <w:rPr>
          <w:rFonts w:hint="eastAsia" w:ascii="Times New Roman" w:hAnsi="Times New Roman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调查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评估规范，规范调查行为，提高调查质量。坚持“有案必查、一案双查、三责同追、四不放过”，严肃对生产安全事故进行调查处理。加强信息共享，严查瞒报行为。对典型事故实施挂牌督办。持续完善洪涝、地质灾害和森林火灾调查评估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完善举报奖励和诚信管理制度。健全安全生产举报奖励制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度，畅通举报渠道，落实奖励资金，鼓励企业实施内部举报奖励。建立健全自然灾害风险隐患报告奖励制度，对有功人员和单位实施奖励。加强行业安全诚信管理，强化激励约束，定期对生产安全事故多发频发的企业实施警示曝光和诚信制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（三）完善基层应急体系，提升基层治理能力。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．推进基层应急管理体系建设。按照党中央、国务院关于增强乡镇（街道）应急管理能力的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部署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，结合党建统领“一中心四板块一网格”基层治理体系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建议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，落实“有机构、有人员、有条件、有能力、有规则”要求，完善基层应急管理组织体系，加强人员、装备、制度保障。建强县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乡镇（街道）、村（社区）、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村民小组（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网格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“三级体系、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级网络”，打通安全治理“最后一米”。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．推进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安全发展。加强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运行安全信息化管理和指挥体系建设，强化下水道、化粪池、地下管线、燃气管道、桥梁、公共交通等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“生命线”风险动态监测和管控。持续推进安全宣传和应急科普，切实提升全民安全素质，巩固防范化解重大安全风险群众基础。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．夯实防灾减灾基础。持续推进自然灾害防治能力提升重点工程建设和冬春强基行动计划，加强危岩地灾综合治理，提高应对灾害的设防能力。制定年度工程治理任务清单，实施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黄阳坝排涝工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，新建森林草原防火标准检查站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座，新建X波段天气雷达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部、自动气象站8个，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标准化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改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造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地震监测台站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个，开展地质灾害点工程治理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4处、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排危除险5处，完成避险搬迁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741户2637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人。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加快推进应急避难场所建设，实现自然村全覆盖。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（四）完善风险防范体系，提升事前预防能力。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加强风险评估管控和隐患排查治理。建立风险评估管控制度，政府部门在“两重两新”（重要时段、重要节点，影响安全的新情况、新变化），企事业单位在“四新一变一危”（使用新工艺、新技术、新材料和新设备，重大变化，危险作业）方面，针对性开展风险研判、发出预警提示、落实防范措施。对重大事故隐患实施常态化销号和动态清零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，持续完善“自查自报自改不处、不查不报不改重处”全链条排查整治责任体系。坚持“日周月”隐患排查制度。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开展重点专项整治。在道路交通领域，加强对“三客一危一校”和工程运输等重点车辆“三超一疲劳”的整治；集中开展网约车违规运营和责任主体失管问题治理；突出临水临崖、急弯陡坡等险要路段，强化农村道路“生命工程”建设。在建设施工领域，聚焦公路、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农田、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水利、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政等重点项目，大力整治关键岗位人员不到岗不履职、无证上岗、危险性较大的分部分项工程方案和设计施工“两张皮”等问题。在消防领域，持续开展遗留问题大起底、消防设施大排查、突出问题大执法专项整治，对重点单位的电气焊作业实施全链条管理。在危险化学品领域，集中整治储存、经营、使用、运输和废弃处置等环节的重大事故隐患；深入推进企业本质安全整治提升。在燃气领域，持续围绕问题气、问题瓶、问题阀、问题管、问题网、问题环境开展隐患排查整治，依法严厉查处外力破坏燃气管道等违法行为。在危险作业领域，以“委托外包、检修维修、有限空间”三大作业为重点，有效解决突出问题，增强薄弱环节工作。在小散工程和零星作业领域，落实小工程、小装修、小维修、小场所等作业安全监管责任，解决“无人管”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加强自然灾害风险和隐患管控。推进自然灾害综合风险普查成果应用，加强洪涝干旱、地震地灾、森林火灾等自然灾害风险隐患排查和清单动态闭环管理，推进重要构造部位、重点断裂地带、重点区域的地震构造环境探查和承灾体风险调查。严格落实“1+7+N”会商研判机制，完善“一行业一措施、一乡镇一方案”预警响应规范体系，落实“断禁停撤疏”等熔断和队伍、装备物资前置要求。探索构建小流域山洪、地质灾害风险管控联动体系，落实“隐患点+风险区”双控模式，完善地质灾害“点线面”一体化风险管控机制。严格落实汛前排查、汛中巡查、汛后核查制度，及时排查管控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完善救援救灾体系，提升应对处置能力。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强化应急预案体系建设和应急演练。立足增强针对性、实用性和可操作性，完善各层级应急预案。加强风险研判、应急资源调查和情景构建，优化现场处置方案。针对不同层级不同区域不同情景开展应急预案演练和桌面推演，确保各级各部门以及各救援力量和从业人员熟悉应急处置程序、处置措施及要求。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强化应急救援队伍建设和应急联动。完善全县“专常群”应急队伍体系，制定专业救援队伍“建管训用”制度。调整充实县级专业救援队伍，巩固发展乡镇（街道）综合救援队伍，规范社会应急力量发展。完善军地、政企协同联动机制，推动与周边区县签订区域应急管理合作协议，加强跨省协作、联合演练，练强体能、练熟技能、练精战术，提升区域联动救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．强化应急装备物资配备和保障能力。推进自然灾害应急能力提升工程，加强全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应急装备物资统管统调，确保关键时刻“调得出、用得上”。开展物资、装备、设施等调查、盘点，及时补充缺口。落实森林防灭火、防汛抗旱、地震地灾等特殊装备物资保障准备要求，加强灾害事故导致“断网、断电、断路”等情况下指挥调度需求保障，做好应急通信装备的配备、培训及演练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强化救灾救助和灾后恢复重建。认真做好应急期救助、因灾遇难人员家属抚慰、过渡期生活救助、冬春临时生活困难救助和倒损住房恢复重建等工作，规范自然灾害生活救助资金“一卡通”管理，保证救助资金及时、安全、准确、足额到户到人。实施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县、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乡镇（街道）救灾物资调拨使用管理机制，有效保障受灾困难群众基本生活。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（六）完善数字应急体系，提升整体智治能力。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．推进数字应急综合应用建设。贯彻落实数字重庆建设总体要求，依托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数字化建设成果，构建“数字应急”监测分析、监管执法、应急救援、履职评价等综合应用体系，推动风险管控、监测预警、分析研判、应急处置、善后恢复和调查评估等全流程网络化、数字化、智能化管理，实现“一屏观全域、一网联全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、一脑统全局”。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加强重点领域和重点应用场景建设。</w:t>
      </w:r>
      <w:r>
        <w:rPr>
          <w:rFonts w:hint="eastAsia" w:ascii="Times New Roman" w:hAnsi="Times New Roman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探索</w:t>
      </w:r>
      <w:r>
        <w:rPr>
          <w:rFonts w:hint="eastAsia" w:ascii="Times New Roman" w:hAnsi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数字消防、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智慧特种设备、智慧交通、智慧工地、智慧燃气等建设。以水、电、气和桥梁、有限空间、重大危险源等为关键要素，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探索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危险化学品、矿山、建设施工、道路交通、水利、消防等行业领域安全风险监测预警系统建设。加强监测预警设备布防，在重点部位部署视频监控系统，在山洪灾害易发区域设立雨水情监测站点。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强化优化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“八张问题清单”运行机制。坚持清单管理和闭环整改，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充分运用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“安全生产和自然灾害问题清单”系统，健全完善“自查、自报、自改”的除险固安机制，“真查、真报、真改”的核查督查机制，“快警、快控、快处”的问题预警机制。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细化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“安全生产和自然灾害问题清单”评价细则，推动形成主动发现问题、及时整改问题、有效化解风险的良性循环。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三、重点行动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（一）实施安全生产治本攻坚行动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。启动安全生产治本攻坚三年行动，强化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、部门和生产经营单位统筹发展和安全的理念，切实提高风险隐患排查整改质量以及发现问题、解决问题的强烈意愿和能力水平。落实一批“人防、技防、工程防、管理防”措施，大力提升本质安全水平。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（二）实施应急管理体系和能力创新激励行动。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鼓励安全生产与防灾减灾救灾工作创新，开展年度应急管理体系和能力建设典型实践案例公开评选和推广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支持鼓励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乡镇（街道）、部门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申报“最佳实践案例”和“改革创新奖”，发挥示范引领作用，整体提升全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应急管理水平。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（三）实施自然灾害应急能力提升行动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。用好用足国债项目资金，高质量推动预警指挥、基层防灾能力提升工程，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级专业攻坚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”，加快完善我县“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一般应对、乡镇（街道）先期处置”的梯次化救援体系。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（四）实施自然灾害防治除险固安行动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。加强自然灾害防治基础建设，提升城乡基础设施、重大工程的设防水平，进一步增强自然灾害风险防范和应对能力。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方正楷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）实施全民安全素质提升行动。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实施“千师万讲”行动，抓好安全宣传“五进”、安全生产月、“5·12”防灾减灾日、“青年安全生产示范岗”、安全文化示范企业创建等活动，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“最美应急人”和“新重庆里看应急”主题品牌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（一）强化组织保障。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强化组织领导和统筹协调，做到主要负责人抓统筹、分管负责人抓具体、业务负责人抓落实，确保安全生产各项工作任务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的完成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各项制度措施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落实到位。强化安全生产与防灾减灾救灾工作保障，为完成各项任务和落实各项措施提供有力的人财物支撑。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（二）强化能力保障。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建立激励机制，加强对应急管理工作人员的关心支持，做好表彰奖励工作，强化队伍培训，注重培养使用，增强职业荣誉感和吸引力，确保队伍稳定。加强应急管理干部队伍政治能力建设，不断提升政治理论素质和专业素养，为推进全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应急管理体系和能力现代化建设提供有力保证。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color w:val="000000" w:themeColor="text1"/>
          <w14:textFill>
            <w14:solidFill>
              <w14:schemeClr w14:val="tx1"/>
            </w14:solidFill>
          </w14:textFill>
        </w:rPr>
        <w:t>（三）强化措施保障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聚焦重点行业领域、重点区域、重点企业、重点时段的安全生产突出问题，常态化开展明察暗访和督查督办，对发现的突出问题，通过提示函、警示函、通报、曝光等方式交办督办和追究责任，推动重点难点问题及时得到解决。对典型事故灾害，及时开展警示约谈和复盘，分析原因、“回溯”责任，压实事故灾害防控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 Antiqua">
    <w:altName w:val="Times New Roman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357" w:firstLine="357"/>
      <w:rPr>
        <w:rStyle w:val="16"/>
        <w:rFonts w:hint="eastAsia" w:ascii="宋体" w:hAnsi="宋体" w:eastAsia="宋体"/>
        <w:sz w:val="28"/>
        <w:szCs w:val="28"/>
      </w:rPr>
    </w:pPr>
    <w:r>
      <w:rPr>
        <w:rStyle w:val="16"/>
        <w:rFonts w:hint="eastAsia" w:ascii="宋体" w:hAnsi="宋体" w:eastAsia="宋体"/>
        <w:sz w:val="28"/>
        <w:szCs w:val="28"/>
      </w:rPr>
      <w:t xml:space="preserve">— </w:t>
    </w:r>
    <w:r>
      <w:rPr>
        <w:rStyle w:val="16"/>
        <w:rFonts w:ascii="宋体" w:hAnsi="宋体" w:eastAsia="宋体"/>
        <w:sz w:val="28"/>
        <w:szCs w:val="28"/>
      </w:rPr>
      <w:fldChar w:fldCharType="begin"/>
    </w:r>
    <w:r>
      <w:rPr>
        <w:rStyle w:val="16"/>
        <w:rFonts w:ascii="宋体" w:hAnsi="宋体" w:eastAsia="宋体"/>
        <w:sz w:val="28"/>
        <w:szCs w:val="28"/>
      </w:rPr>
      <w:instrText xml:space="preserve">PAGE  </w:instrText>
    </w:r>
    <w:r>
      <w:rPr>
        <w:rStyle w:val="16"/>
        <w:rFonts w:ascii="宋体" w:hAnsi="宋体" w:eastAsia="宋体"/>
        <w:sz w:val="28"/>
        <w:szCs w:val="28"/>
      </w:rPr>
      <w:fldChar w:fldCharType="separate"/>
    </w:r>
    <w:r>
      <w:rPr>
        <w:rStyle w:val="16"/>
        <w:rFonts w:ascii="宋体" w:hAnsi="宋体" w:eastAsia="宋体"/>
        <w:sz w:val="28"/>
        <w:szCs w:val="28"/>
      </w:rPr>
      <w:t>1</w:t>
    </w:r>
    <w:r>
      <w:rPr>
        <w:rStyle w:val="16"/>
        <w:rFonts w:ascii="宋体" w:hAnsi="宋体" w:eastAsia="宋体"/>
        <w:sz w:val="28"/>
        <w:szCs w:val="28"/>
      </w:rPr>
      <w:fldChar w:fldCharType="end"/>
    </w:r>
    <w:r>
      <w:rPr>
        <w:rStyle w:val="16"/>
        <w:rFonts w:hint="eastAsia"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357" w:firstLine="357"/>
      <w:rPr>
        <w:rStyle w:val="16"/>
        <w:rFonts w:hint="eastAsia" w:ascii="宋体" w:hAnsi="宋体" w:eastAsia="宋体"/>
        <w:sz w:val="28"/>
        <w:szCs w:val="28"/>
      </w:rPr>
    </w:pPr>
    <w:r>
      <w:rPr>
        <w:rStyle w:val="16"/>
        <w:rFonts w:hint="eastAsia" w:ascii="宋体" w:hAnsi="宋体" w:eastAsia="宋体"/>
        <w:sz w:val="28"/>
        <w:szCs w:val="28"/>
      </w:rPr>
      <w:t xml:space="preserve">— </w:t>
    </w:r>
    <w:r>
      <w:rPr>
        <w:rStyle w:val="16"/>
        <w:rFonts w:ascii="宋体" w:hAnsi="宋体" w:eastAsia="宋体"/>
        <w:sz w:val="28"/>
        <w:szCs w:val="28"/>
      </w:rPr>
      <w:fldChar w:fldCharType="begin"/>
    </w:r>
    <w:r>
      <w:rPr>
        <w:rStyle w:val="16"/>
        <w:rFonts w:ascii="宋体" w:hAnsi="宋体" w:eastAsia="宋体"/>
        <w:sz w:val="28"/>
        <w:szCs w:val="28"/>
      </w:rPr>
      <w:instrText xml:space="preserve">PAGE  </w:instrText>
    </w:r>
    <w:r>
      <w:rPr>
        <w:rStyle w:val="16"/>
        <w:rFonts w:ascii="宋体" w:hAnsi="宋体" w:eastAsia="宋体"/>
        <w:sz w:val="28"/>
        <w:szCs w:val="28"/>
      </w:rPr>
      <w:fldChar w:fldCharType="separate"/>
    </w:r>
    <w:r>
      <w:rPr>
        <w:rStyle w:val="16"/>
        <w:rFonts w:ascii="宋体" w:hAnsi="宋体" w:eastAsia="宋体"/>
        <w:sz w:val="28"/>
        <w:szCs w:val="28"/>
      </w:rPr>
      <w:t>4</w:t>
    </w:r>
    <w:r>
      <w:rPr>
        <w:rStyle w:val="16"/>
        <w:rFonts w:ascii="宋体" w:hAnsi="宋体" w:eastAsia="宋体"/>
        <w:sz w:val="28"/>
        <w:szCs w:val="28"/>
      </w:rPr>
      <w:fldChar w:fldCharType="end"/>
    </w:r>
    <w:r>
      <w:rPr>
        <w:rStyle w:val="16"/>
        <w:rFonts w:hint="eastAsia" w:ascii="宋体" w:hAnsi="宋体" w:eastAsia="宋体"/>
        <w:sz w:val="28"/>
        <w:szCs w:val="28"/>
      </w:rPr>
      <w:t xml:space="preserve"> —</w:t>
    </w:r>
  </w:p>
  <w:p>
    <w:pPr>
      <w:pStyle w:val="7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20B5D"/>
    <w:rsid w:val="00024D3A"/>
    <w:rsid w:val="000328B9"/>
    <w:rsid w:val="00096844"/>
    <w:rsid w:val="000A50A7"/>
    <w:rsid w:val="000E0230"/>
    <w:rsid w:val="000E71D7"/>
    <w:rsid w:val="001067D1"/>
    <w:rsid w:val="00136559"/>
    <w:rsid w:val="0013764A"/>
    <w:rsid w:val="001718C9"/>
    <w:rsid w:val="00181FB5"/>
    <w:rsid w:val="001909A6"/>
    <w:rsid w:val="001D1001"/>
    <w:rsid w:val="001D7DE6"/>
    <w:rsid w:val="001E4A14"/>
    <w:rsid w:val="001F26C1"/>
    <w:rsid w:val="001F4345"/>
    <w:rsid w:val="00206017"/>
    <w:rsid w:val="00214ACE"/>
    <w:rsid w:val="00221D33"/>
    <w:rsid w:val="00257482"/>
    <w:rsid w:val="00257D3B"/>
    <w:rsid w:val="00260785"/>
    <w:rsid w:val="00267810"/>
    <w:rsid w:val="002776F5"/>
    <w:rsid w:val="00291630"/>
    <w:rsid w:val="002A014A"/>
    <w:rsid w:val="002A4E39"/>
    <w:rsid w:val="002C6410"/>
    <w:rsid w:val="002D23EB"/>
    <w:rsid w:val="002F6843"/>
    <w:rsid w:val="002F6B4B"/>
    <w:rsid w:val="00350A11"/>
    <w:rsid w:val="00364F0B"/>
    <w:rsid w:val="00393D1D"/>
    <w:rsid w:val="0039576A"/>
    <w:rsid w:val="003B368C"/>
    <w:rsid w:val="003F257C"/>
    <w:rsid w:val="003F2A22"/>
    <w:rsid w:val="003F2CC3"/>
    <w:rsid w:val="00405A21"/>
    <w:rsid w:val="00405AC5"/>
    <w:rsid w:val="00441F2C"/>
    <w:rsid w:val="00444B18"/>
    <w:rsid w:val="00444F1A"/>
    <w:rsid w:val="00457261"/>
    <w:rsid w:val="00467E15"/>
    <w:rsid w:val="004702B1"/>
    <w:rsid w:val="00471357"/>
    <w:rsid w:val="00476B50"/>
    <w:rsid w:val="004811E8"/>
    <w:rsid w:val="00494D73"/>
    <w:rsid w:val="00495550"/>
    <w:rsid w:val="004A34D1"/>
    <w:rsid w:val="004A37F9"/>
    <w:rsid w:val="004C43FD"/>
    <w:rsid w:val="004C60A2"/>
    <w:rsid w:val="004E3D1E"/>
    <w:rsid w:val="00504170"/>
    <w:rsid w:val="00536101"/>
    <w:rsid w:val="0053638E"/>
    <w:rsid w:val="00536AD7"/>
    <w:rsid w:val="005518E9"/>
    <w:rsid w:val="00552281"/>
    <w:rsid w:val="00560D81"/>
    <w:rsid w:val="00571EEC"/>
    <w:rsid w:val="005742A3"/>
    <w:rsid w:val="005844BC"/>
    <w:rsid w:val="005975EB"/>
    <w:rsid w:val="005A2D70"/>
    <w:rsid w:val="005B2FD6"/>
    <w:rsid w:val="005C523E"/>
    <w:rsid w:val="0061198C"/>
    <w:rsid w:val="0062253B"/>
    <w:rsid w:val="00651C88"/>
    <w:rsid w:val="0066261F"/>
    <w:rsid w:val="006641B1"/>
    <w:rsid w:val="006933E6"/>
    <w:rsid w:val="006A2429"/>
    <w:rsid w:val="006C5FFD"/>
    <w:rsid w:val="00706C57"/>
    <w:rsid w:val="0074659A"/>
    <w:rsid w:val="007524FF"/>
    <w:rsid w:val="00760194"/>
    <w:rsid w:val="00770B8B"/>
    <w:rsid w:val="00784A3E"/>
    <w:rsid w:val="007853F4"/>
    <w:rsid w:val="007919D6"/>
    <w:rsid w:val="0079701D"/>
    <w:rsid w:val="007B465C"/>
    <w:rsid w:val="007C3E4C"/>
    <w:rsid w:val="007D55DE"/>
    <w:rsid w:val="007D76F5"/>
    <w:rsid w:val="007D79AD"/>
    <w:rsid w:val="007D7B11"/>
    <w:rsid w:val="007E620E"/>
    <w:rsid w:val="007F6A5C"/>
    <w:rsid w:val="007F76B8"/>
    <w:rsid w:val="007F7B46"/>
    <w:rsid w:val="00800573"/>
    <w:rsid w:val="00801084"/>
    <w:rsid w:val="00810D08"/>
    <w:rsid w:val="00824C97"/>
    <w:rsid w:val="008252DF"/>
    <w:rsid w:val="0083023A"/>
    <w:rsid w:val="00834E4C"/>
    <w:rsid w:val="00883111"/>
    <w:rsid w:val="00884328"/>
    <w:rsid w:val="00886969"/>
    <w:rsid w:val="00892A95"/>
    <w:rsid w:val="008A1DF4"/>
    <w:rsid w:val="008B436D"/>
    <w:rsid w:val="008D6473"/>
    <w:rsid w:val="008E3574"/>
    <w:rsid w:val="008E5387"/>
    <w:rsid w:val="008F31AF"/>
    <w:rsid w:val="008F6687"/>
    <w:rsid w:val="00901F8F"/>
    <w:rsid w:val="00910723"/>
    <w:rsid w:val="00926FBE"/>
    <w:rsid w:val="0093025F"/>
    <w:rsid w:val="009304EA"/>
    <w:rsid w:val="00933C0F"/>
    <w:rsid w:val="0094773A"/>
    <w:rsid w:val="00962271"/>
    <w:rsid w:val="00963510"/>
    <w:rsid w:val="00976F4B"/>
    <w:rsid w:val="00980639"/>
    <w:rsid w:val="00983661"/>
    <w:rsid w:val="00985815"/>
    <w:rsid w:val="009A1F9C"/>
    <w:rsid w:val="009A7968"/>
    <w:rsid w:val="009C657E"/>
    <w:rsid w:val="009D53AC"/>
    <w:rsid w:val="009E3650"/>
    <w:rsid w:val="009E46B8"/>
    <w:rsid w:val="009F04AD"/>
    <w:rsid w:val="009F4E14"/>
    <w:rsid w:val="00A12492"/>
    <w:rsid w:val="00A1337A"/>
    <w:rsid w:val="00A2706E"/>
    <w:rsid w:val="00A31334"/>
    <w:rsid w:val="00A378C5"/>
    <w:rsid w:val="00A525D0"/>
    <w:rsid w:val="00A90365"/>
    <w:rsid w:val="00AB1623"/>
    <w:rsid w:val="00AD671A"/>
    <w:rsid w:val="00B01075"/>
    <w:rsid w:val="00B26473"/>
    <w:rsid w:val="00B311E4"/>
    <w:rsid w:val="00B33E3F"/>
    <w:rsid w:val="00B34010"/>
    <w:rsid w:val="00B36F0F"/>
    <w:rsid w:val="00B444D3"/>
    <w:rsid w:val="00B558C7"/>
    <w:rsid w:val="00B60B73"/>
    <w:rsid w:val="00B676BD"/>
    <w:rsid w:val="00B760EE"/>
    <w:rsid w:val="00BB417D"/>
    <w:rsid w:val="00BC6C71"/>
    <w:rsid w:val="00BD572F"/>
    <w:rsid w:val="00BD7840"/>
    <w:rsid w:val="00BF5904"/>
    <w:rsid w:val="00BF5EE8"/>
    <w:rsid w:val="00C01861"/>
    <w:rsid w:val="00C122E8"/>
    <w:rsid w:val="00C167AF"/>
    <w:rsid w:val="00C20008"/>
    <w:rsid w:val="00C3320E"/>
    <w:rsid w:val="00C65408"/>
    <w:rsid w:val="00C74608"/>
    <w:rsid w:val="00C94E50"/>
    <w:rsid w:val="00C95094"/>
    <w:rsid w:val="00CA19F3"/>
    <w:rsid w:val="00CA30C2"/>
    <w:rsid w:val="00CA680D"/>
    <w:rsid w:val="00CB553C"/>
    <w:rsid w:val="00CC0396"/>
    <w:rsid w:val="00CC1C95"/>
    <w:rsid w:val="00CD20FD"/>
    <w:rsid w:val="00D0341E"/>
    <w:rsid w:val="00D27D16"/>
    <w:rsid w:val="00D7254C"/>
    <w:rsid w:val="00D7257D"/>
    <w:rsid w:val="00D771AD"/>
    <w:rsid w:val="00DA2BDD"/>
    <w:rsid w:val="00DB03D0"/>
    <w:rsid w:val="00DB2479"/>
    <w:rsid w:val="00DD5173"/>
    <w:rsid w:val="00DF2CB7"/>
    <w:rsid w:val="00E066F1"/>
    <w:rsid w:val="00E0690F"/>
    <w:rsid w:val="00E34E35"/>
    <w:rsid w:val="00E379F2"/>
    <w:rsid w:val="00E43A17"/>
    <w:rsid w:val="00E8261D"/>
    <w:rsid w:val="00E87406"/>
    <w:rsid w:val="00E87AB0"/>
    <w:rsid w:val="00EA6C1B"/>
    <w:rsid w:val="00EB52C9"/>
    <w:rsid w:val="00EE2B95"/>
    <w:rsid w:val="00EE7F1C"/>
    <w:rsid w:val="00EF17D5"/>
    <w:rsid w:val="00F040D9"/>
    <w:rsid w:val="00F05ADF"/>
    <w:rsid w:val="00F13FEF"/>
    <w:rsid w:val="00F22422"/>
    <w:rsid w:val="00F2521D"/>
    <w:rsid w:val="00F73DC2"/>
    <w:rsid w:val="00F803C9"/>
    <w:rsid w:val="00F93725"/>
    <w:rsid w:val="00FA05D0"/>
    <w:rsid w:val="00FC06E2"/>
    <w:rsid w:val="00FC1643"/>
    <w:rsid w:val="00FD747E"/>
    <w:rsid w:val="00FE3B1E"/>
    <w:rsid w:val="00FE6528"/>
    <w:rsid w:val="00FF14CB"/>
    <w:rsid w:val="00FF2B1E"/>
    <w:rsid w:val="00FF2F7C"/>
    <w:rsid w:val="00FF3886"/>
    <w:rsid w:val="00FF7496"/>
    <w:rsid w:val="0408684E"/>
    <w:rsid w:val="11BD20B8"/>
    <w:rsid w:val="12CA39A1"/>
    <w:rsid w:val="1EDD0C77"/>
    <w:rsid w:val="25035ACE"/>
    <w:rsid w:val="2C0D27FE"/>
    <w:rsid w:val="2D3B7955"/>
    <w:rsid w:val="3A744A38"/>
    <w:rsid w:val="3BE1204B"/>
    <w:rsid w:val="3EE7ABDA"/>
    <w:rsid w:val="3EF649CE"/>
    <w:rsid w:val="3F8D3B8D"/>
    <w:rsid w:val="3FFBD220"/>
    <w:rsid w:val="46AE1E3D"/>
    <w:rsid w:val="59F43162"/>
    <w:rsid w:val="5DD34404"/>
    <w:rsid w:val="6F5F4E7C"/>
    <w:rsid w:val="76CD5DA2"/>
    <w:rsid w:val="77FF10AE"/>
    <w:rsid w:val="7BFC5519"/>
    <w:rsid w:val="7C80683D"/>
    <w:rsid w:val="7FE73E1C"/>
    <w:rsid w:val="7FFF3162"/>
    <w:rsid w:val="7FFF7332"/>
    <w:rsid w:val="BEFA2162"/>
    <w:rsid w:val="FD161B54"/>
    <w:rsid w:val="FDFDF574"/>
    <w:rsid w:val="FFBDF79E"/>
    <w:rsid w:val="FFD90FC9"/>
    <w:rsid w:val="FFFBF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ind w:left="896" w:right="973"/>
      <w:jc w:val="center"/>
      <w:outlineLvl w:val="0"/>
    </w:pPr>
    <w:rPr>
      <w:rFonts w:ascii="方正小标宋_GBK" w:hAnsi="方正小标宋_GBK" w:eastAsia="方正小标宋_GBK" w:cs="方正小标宋_GBK"/>
      <w:sz w:val="41"/>
      <w:szCs w:val="41"/>
      <w:lang w:val="zh-CN" w:bidi="zh-CN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6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4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Calibri" w:hAnsi="Calibri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2">
    <w:name w:val="Body Text First Indent 2"/>
    <w:basedOn w:val="4"/>
    <w:link w:val="22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标题 1 Char"/>
    <w:basedOn w:val="14"/>
    <w:link w:val="3"/>
    <w:qFormat/>
    <w:uiPriority w:val="0"/>
    <w:rPr>
      <w:rFonts w:ascii="方正小标宋_GBK" w:hAnsi="方正小标宋_GBK" w:eastAsia="方正小标宋_GBK" w:cs="方正小标宋_GBK"/>
      <w:kern w:val="2"/>
      <w:sz w:val="41"/>
      <w:szCs w:val="41"/>
      <w:lang w:val="zh-CN" w:bidi="zh-CN"/>
    </w:rPr>
  </w:style>
  <w:style w:type="character" w:customStyle="1" w:styleId="19">
    <w:name w:val="lemmatitleh12"/>
    <w:basedOn w:val="14"/>
    <w:qFormat/>
    <w:uiPriority w:val="0"/>
  </w:style>
  <w:style w:type="character" w:customStyle="1" w:styleId="20">
    <w:name w:val="UserStyle_12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21">
    <w:name w:val="正文文本缩进 Char"/>
    <w:basedOn w:val="14"/>
    <w:link w:val="4"/>
    <w:qFormat/>
    <w:uiPriority w:val="0"/>
    <w:rPr>
      <w:rFonts w:eastAsia="方正仿宋_GBK"/>
      <w:kern w:val="2"/>
      <w:sz w:val="32"/>
      <w:szCs w:val="24"/>
    </w:rPr>
  </w:style>
  <w:style w:type="character" w:customStyle="1" w:styleId="22">
    <w:name w:val="正文首行缩进 2 Char"/>
    <w:basedOn w:val="21"/>
    <w:link w:val="12"/>
    <w:qFormat/>
    <w:uiPriority w:val="0"/>
    <w:rPr>
      <w:rFonts w:ascii="Calibri" w:hAnsi="Calibri" w:cs="宋体"/>
      <w:sz w:val="21"/>
      <w:szCs w:val="21"/>
    </w:rPr>
  </w:style>
  <w:style w:type="character" w:customStyle="1" w:styleId="23">
    <w:name w:val="ca-1"/>
    <w:basedOn w:val="14"/>
    <w:qFormat/>
    <w:uiPriority w:val="0"/>
    <w:rPr>
      <w:rFonts w:cs="Times New Roman"/>
    </w:rPr>
  </w:style>
  <w:style w:type="character" w:customStyle="1" w:styleId="24">
    <w:name w:val="正文文本 Char1"/>
    <w:basedOn w:val="14"/>
    <w:qFormat/>
    <w:uiPriority w:val="0"/>
    <w:rPr>
      <w:rFonts w:eastAsia="方正仿宋_GBK"/>
      <w:kern w:val="2"/>
      <w:sz w:val="32"/>
      <w:szCs w:val="24"/>
    </w:rPr>
  </w:style>
  <w:style w:type="character" w:customStyle="1" w:styleId="25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customStyle="1" w:styleId="26">
    <w:name w:val="正文文本 Char"/>
    <w:link w:val="2"/>
    <w:qFormat/>
    <w:uiPriority w:val="0"/>
    <w:rPr>
      <w:rFonts w:ascii="Tahoma" w:hAnsi="Tahoma" w:eastAsia="微软雅黑"/>
      <w:sz w:val="22"/>
      <w:szCs w:val="22"/>
    </w:rPr>
  </w:style>
  <w:style w:type="paragraph" w:customStyle="1" w:styleId="27">
    <w:name w:val=" Char Char2"/>
    <w:basedOn w:val="1"/>
    <w:qFormat/>
    <w:uiPriority w:val="0"/>
  </w:style>
  <w:style w:type="paragraph" w:customStyle="1" w:styleId="28">
    <w:name w:val=" Char"/>
    <w:basedOn w:val="1"/>
    <w:qFormat/>
    <w:uiPriority w:val="0"/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</w:rPr>
  </w:style>
  <w:style w:type="paragraph" w:customStyle="1" w:styleId="32">
    <w:name w:val="Char Char Char"/>
    <w:basedOn w:val="1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3">
    <w:name w:val="TOC5"/>
    <w:basedOn w:val="1"/>
    <w:next w:val="1"/>
    <w:qFormat/>
    <w:uiPriority w:val="0"/>
    <w:pPr>
      <w:ind w:left="1680" w:leftChars="800"/>
      <w:textAlignment w:val="baseline"/>
    </w:pPr>
    <w:rPr>
      <w:rFonts w:cs="黑体"/>
    </w:rPr>
  </w:style>
  <w:style w:type="paragraph" w:customStyle="1" w:styleId="34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3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</w:rPr>
  </w:style>
  <w:style w:type="paragraph" w:customStyle="1" w:styleId="38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39">
    <w:name w:val="Char"/>
    <w:basedOn w:val="1"/>
    <w:qFormat/>
    <w:uiPriority w:val="0"/>
    <w:pPr>
      <w:widowControl/>
      <w:jc w:val="left"/>
    </w:pPr>
    <w:rPr>
      <w:rFonts w:eastAsia="宋体"/>
      <w:sz w:val="21"/>
    </w:rPr>
  </w:style>
  <w:style w:type="paragraph" w:styleId="4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样式 样式 正文首行缩进 + 首行缩进:  2 字符1 + 四号 首行缩进:  2 字符"/>
    <w:basedOn w:val="1"/>
    <w:qFormat/>
    <w:uiPriority w:val="0"/>
    <w:pPr>
      <w:spacing w:line="360" w:lineRule="auto"/>
      <w:ind w:firstLine="560" w:firstLineChars="200"/>
    </w:pPr>
    <w:rPr>
      <w:rFonts w:ascii="Book Antiqua" w:hAnsi="Book Antiqua" w:eastAsia="宋体" w:cs="宋体"/>
      <w:sz w:val="24"/>
      <w:szCs w:val="20"/>
    </w:rPr>
  </w:style>
  <w:style w:type="paragraph" w:customStyle="1" w:styleId="42">
    <w:name w:val="BodyText"/>
    <w:basedOn w:val="1"/>
    <w:next w:val="33"/>
    <w:qFormat/>
    <w:uiPriority w:val="0"/>
    <w:pPr>
      <w:textAlignment w:val="baseline"/>
    </w:pPr>
    <w:rPr>
      <w:rFonts w:ascii="Calibri" w:hAnsi="Calibri"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2020-06-11T23:22:00Z</dcterms:created>
  <dc:creator>we</dc:creator>
  <cp:lastModifiedBy>admin</cp:lastModifiedBy>
  <cp:lastPrinted>2022-04-02T00:25:00Z</cp:lastPrinted>
  <dcterms:modified xsi:type="dcterms:W3CDTF">2024-04-10T08:46:50Z</dcterms:modified>
  <dc:title>巫溪县人民政府办公室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