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rPr>
          <w:rFonts w:hint="eastAsia"/>
        </w:rPr>
        <w:pict>
          <v:shape id="_x0000_s1027" o:spid="_x0000_s1027" o:spt="136" type="#_x0000_t136" style="position:absolute;left:0pt;margin-top:99.25pt;height:53.85pt;width:411pt;mso-position-horizontal:center;mso-position-horizontal-relative:page;mso-position-vertical-relative:margin;z-index:251660288;mso-width-relative:page;mso-height-relative:page;" fillcolor="#FF0000" filled="t" stroked="f" coordsize="21600,21600">
            <v:path/>
            <v:fill on="t" focussize="0,0"/>
            <v:stroke on="f" color="#FF0000"/>
            <v:imagedata o:title=""/>
            <o:lock v:ext="edit"/>
            <v:textpath on="t" fitshape="t" fitpath="t" trim="t" xscale="f" string="巫溪县人民政府文件" style="font-family:方正小标宋_GBK;font-size:36pt;font-weight:bold;v-rotate-letters:f;v-same-letter-heights:f;v-text-align:center;"/>
          </v:shape>
        </w:pict>
      </w:r>
    </w:p>
    <w:p/>
    <w:p/>
    <w:p/>
    <w:p>
      <w:pPr>
        <w:tabs>
          <w:tab w:val="left" w:pos="1264"/>
        </w:tabs>
        <w:rPr>
          <w:rFonts w:hint="eastAsia"/>
        </w:rPr>
      </w:pPr>
      <w:r>
        <w:rPr>
          <w:rFonts w:hint="eastAsia" w:ascii="方正仿宋_GBK"/>
        </w:rPr>
        <mc:AlternateContent>
          <mc:Choice Requires="wps">
            <w:drawing>
              <wp:anchor distT="0" distB="0" distL="114300" distR="114300" simplePos="0" relativeHeight="251661312" behindDoc="0" locked="0" layoutInCell="1" allowOverlap="1">
                <wp:simplePos x="0" y="0"/>
                <wp:positionH relativeFrom="page">
                  <wp:posOffset>1013460</wp:posOffset>
                </wp:positionH>
                <wp:positionV relativeFrom="margin">
                  <wp:posOffset>3060700</wp:posOffset>
                </wp:positionV>
                <wp:extent cx="5615940" cy="0"/>
                <wp:effectExtent l="0" t="10795" r="3810" b="1778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79.8pt;margin-top:241pt;height:0pt;width:442.2pt;mso-position-horizontal-relative:page;mso-position-vertical-relative:margin;z-index:251661312;mso-width-relative:page;mso-height-relative:page;" filled="f" stroked="t" coordsize="21600,21600" o:gfxdata="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cr4zFtgAAAAMAQAADwAAAAAAAAABACAAAAA4AAAAZHJzL2Rvd25yZXYueG1sUEsB&#10;AhQAFAAAAAgAh07iQA2HY9ffAQAAmgMAAA4AAAAAAAAAAQAgAAAAPQEAAGRycy9lMm9Eb2MueG1s&#10;UEsFBgAAAAAGAAYAWQEAAI4FAAAAAA==&#10;">
                <v:fill on="f" focussize="0,0"/>
                <v:stroke weight="1.75pt" color="#FF0000" joinstyle="round"/>
                <v:imagedata o:title=""/>
                <o:lock v:ext="edit" aspectratio="f"/>
              </v:line>
            </w:pict>
          </mc:Fallback>
        </mc:AlternateContent>
      </w:r>
      <w:r>
        <w:tab/>
      </w:r>
    </w:p>
    <w:p>
      <w:pPr>
        <w:tabs>
          <w:tab w:val="left" w:pos="1264"/>
        </w:tabs>
        <w:rPr>
          <w:rFonts w:hint="eastAsia"/>
        </w:rPr>
      </w:pPr>
    </w:p>
    <w:p>
      <w:pPr>
        <w:tabs>
          <w:tab w:val="left" w:pos="1264"/>
        </w:tabs>
        <w:rPr>
          <w:rFonts w:hint="eastAsia"/>
        </w:rPr>
      </w:pPr>
    </w:p>
    <w:p>
      <w:pPr>
        <w:jc w:val="center"/>
        <w:rPr>
          <w:color w:val="auto"/>
          <w:szCs w:val="32"/>
        </w:rPr>
      </w:pPr>
      <w:r>
        <w:rPr>
          <w:rFonts w:hint="eastAsia"/>
          <w:color w:val="auto"/>
          <w:szCs w:val="32"/>
        </w:rPr>
        <w:t>巫溪</w:t>
      </w:r>
      <w:r>
        <w:rPr>
          <w:color w:val="auto"/>
          <w:szCs w:val="32"/>
        </w:rPr>
        <w:t>府</w:t>
      </w:r>
      <w:r>
        <w:rPr>
          <w:rFonts w:hint="eastAsia"/>
          <w:color w:val="auto"/>
          <w:szCs w:val="32"/>
        </w:rPr>
        <w:t>征地方案公告</w:t>
      </w:r>
      <w:r>
        <w:rPr>
          <w:color w:val="auto"/>
          <w:szCs w:val="32"/>
        </w:rPr>
        <w:t>〔20</w:t>
      </w:r>
      <w:r>
        <w:rPr>
          <w:rFonts w:hint="eastAsia"/>
          <w:color w:val="auto"/>
          <w:szCs w:val="32"/>
        </w:rPr>
        <w:t>2</w:t>
      </w:r>
      <w:r>
        <w:rPr>
          <w:rFonts w:hint="eastAsia"/>
          <w:color w:val="auto"/>
          <w:szCs w:val="32"/>
          <w:lang w:val="en-US" w:eastAsia="zh-CN"/>
        </w:rPr>
        <w:t>2</w:t>
      </w:r>
      <w:r>
        <w:rPr>
          <w:color w:val="auto"/>
          <w:szCs w:val="32"/>
        </w:rPr>
        <w:t>〕</w:t>
      </w:r>
      <w:r>
        <w:rPr>
          <w:rFonts w:hint="eastAsia"/>
          <w:color w:val="auto"/>
          <w:szCs w:val="32"/>
          <w:lang w:val="en-US" w:eastAsia="zh-CN"/>
        </w:rPr>
        <w:t>7</w:t>
      </w:r>
      <w:r>
        <w:rPr>
          <w:color w:val="auto"/>
          <w:szCs w:val="32"/>
        </w:rPr>
        <w:t>号</w:t>
      </w:r>
    </w:p>
    <w:p>
      <w:pPr>
        <w:tabs>
          <w:tab w:val="left" w:pos="1264"/>
        </w:tabs>
        <w:jc w:val="center"/>
      </w:pPr>
    </w:p>
    <w:p>
      <w:pPr>
        <w:tabs>
          <w:tab w:val="left" w:pos="1264"/>
        </w:tabs>
        <w:jc w:val="center"/>
        <w:rPr>
          <w:color w:val="auto"/>
        </w:rPr>
      </w:pPr>
    </w:p>
    <w:p>
      <w:pPr>
        <w:snapToGrid w:val="0"/>
        <w:spacing w:line="700" w:lineRule="atLeast"/>
        <w:jc w:val="center"/>
        <w:rPr>
          <w:rFonts w:hint="eastAsia" w:eastAsia="方正小标宋_GBK" w:cs="方正小标宋_GBK"/>
          <w:color w:val="auto"/>
          <w:sz w:val="44"/>
          <w:szCs w:val="44"/>
        </w:rPr>
      </w:pPr>
      <w:r>
        <w:rPr>
          <w:rFonts w:hint="eastAsia" w:eastAsia="方正小标宋_GBK" w:cs="方正小标宋_GBK"/>
          <w:color w:val="auto"/>
          <w:sz w:val="44"/>
          <w:szCs w:val="44"/>
        </w:rPr>
        <w:t>巫溪县人民政府</w:t>
      </w:r>
    </w:p>
    <w:p>
      <w:pPr>
        <w:snapToGrid w:val="0"/>
        <w:spacing w:line="700" w:lineRule="atLeast"/>
        <w:jc w:val="center"/>
        <w:rPr>
          <w:rFonts w:hint="eastAsia" w:ascii="Times New Roman" w:hAnsi="Times New Roman" w:eastAsia="方正小标宋_GBK" w:cs="方正小标宋_GBK"/>
          <w:color w:val="auto"/>
          <w:sz w:val="44"/>
          <w:szCs w:val="44"/>
          <w:lang w:eastAsia="zh-CN"/>
        </w:rPr>
      </w:pPr>
      <w:r>
        <w:rPr>
          <w:rFonts w:eastAsia="方正小标宋_GBK" w:cs="方正小标宋_GBK"/>
          <w:color w:val="auto"/>
          <w:sz w:val="44"/>
          <w:szCs w:val="44"/>
        </w:rPr>
        <w:t>关于</w:t>
      </w:r>
      <w:r>
        <w:rPr>
          <w:rFonts w:hint="eastAsia" w:ascii="Times New Roman" w:hAnsi="Times New Roman" w:eastAsia="方正小标宋_GBK"/>
          <w:color w:val="auto"/>
          <w:sz w:val="44"/>
          <w:szCs w:val="44"/>
          <w:lang w:eastAsia="zh-CN"/>
        </w:rPr>
        <w:t>实施绕城路大宁河大桥项目</w:t>
      </w:r>
      <w:r>
        <w:rPr>
          <w:rFonts w:eastAsia="方正小标宋_GBK"/>
          <w:color w:val="auto"/>
          <w:sz w:val="44"/>
          <w:szCs w:val="44"/>
        </w:rPr>
        <w:t>征收</w:t>
      </w:r>
      <w:r>
        <w:rPr>
          <w:rFonts w:hint="eastAsia" w:ascii="Times New Roman" w:hAnsi="Times New Roman" w:eastAsia="方正小标宋_GBK" w:cs="方正小标宋_GBK"/>
          <w:color w:val="auto"/>
          <w:sz w:val="44"/>
          <w:szCs w:val="44"/>
          <w:lang w:eastAsia="zh-CN"/>
        </w:rPr>
        <w:t>宁河街道白鹅社区1组等1个街道2个社区1个组</w:t>
      </w:r>
    </w:p>
    <w:p>
      <w:pPr>
        <w:snapToGrid w:val="0"/>
        <w:spacing w:line="700" w:lineRule="atLeast"/>
        <w:jc w:val="center"/>
        <w:rPr>
          <w:rFonts w:eastAsia="方正小标宋_GBK" w:cs="方正小标宋_GBK"/>
          <w:color w:val="auto"/>
          <w:sz w:val="44"/>
          <w:szCs w:val="44"/>
        </w:rPr>
      </w:pPr>
      <w:r>
        <w:rPr>
          <w:rFonts w:hint="eastAsia" w:eastAsia="方正小标宋_GBK" w:cs="方正小标宋_GBK"/>
          <w:color w:val="auto"/>
          <w:sz w:val="44"/>
          <w:szCs w:val="44"/>
        </w:rPr>
        <w:t>集体土地（部分）补偿安置方案的公告</w:t>
      </w:r>
    </w:p>
    <w:p>
      <w:pPr>
        <w:spacing w:line="578" w:lineRule="exact"/>
        <w:rPr>
          <w:rFonts w:eastAsia="方正小标宋_GBK" w:cs="方正小标宋_GBK"/>
          <w:color w:val="auto"/>
          <w:sz w:val="44"/>
          <w:szCs w:val="44"/>
        </w:rPr>
      </w:pPr>
    </w:p>
    <w:p>
      <w:pPr>
        <w:spacing w:line="578" w:lineRule="exact"/>
        <w:rPr>
          <w:rFonts w:hint="eastAsia" w:eastAsia="方正黑体_GBK"/>
          <w:color w:val="auto"/>
          <w:szCs w:val="32"/>
        </w:rPr>
      </w:pPr>
      <w:r>
        <w:rPr>
          <w:rFonts w:hint="eastAsia"/>
          <w:color w:val="auto"/>
          <w:szCs w:val="32"/>
        </w:rPr>
        <w:t xml:space="preserve">    按照《中华人民共和国土地管理法》《中华人民共和国土地管理法实施条例》等法律法规的规定，县人民政府于</w:t>
      </w:r>
      <w:r>
        <w:rPr>
          <w:rFonts w:hint="eastAsia" w:ascii="Times New Roman" w:hAnsi="Times New Roman" w:eastAsia="方正仿宋_GBK" w:cs="Times New Roman"/>
          <w:color w:val="auto"/>
          <w:sz w:val="32"/>
          <w:szCs w:val="32"/>
          <w:lang w:val="en-US" w:eastAsia="zh-CN"/>
        </w:rPr>
        <w:t>202</w:t>
      </w:r>
      <w:r>
        <w:rPr>
          <w:rFonts w:hint="eastAsia" w:ascii="Times New Roman" w:hAnsi="Times New Roman" w:cs="Times New Roman"/>
          <w:color w:val="auto"/>
          <w:sz w:val="32"/>
          <w:szCs w:val="32"/>
          <w:lang w:val="en-US" w:eastAsia="zh-CN"/>
        </w:rPr>
        <w:t>2</w:t>
      </w:r>
      <w:r>
        <w:rPr>
          <w:rFonts w:hint="eastAsia" w:ascii="Times New Roman" w:hAnsi="Times New Roman" w:eastAsia="方正仿宋_GBK" w:cs="Times New Roman"/>
          <w:color w:val="auto"/>
          <w:sz w:val="32"/>
          <w:szCs w:val="32"/>
          <w:lang w:eastAsia="zh-CN"/>
        </w:rPr>
        <w:t>年</w:t>
      </w:r>
      <w:r>
        <w:rPr>
          <w:rFonts w:hint="eastAsia" w:ascii="Times New Roman" w:hAnsi="Times New Roman" w:cs="Times New Roman"/>
          <w:color w:val="auto"/>
          <w:sz w:val="32"/>
          <w:szCs w:val="32"/>
          <w:lang w:val="en-US" w:eastAsia="zh-CN"/>
        </w:rPr>
        <w:t>1</w:t>
      </w:r>
      <w:r>
        <w:rPr>
          <w:rFonts w:hint="eastAsia" w:ascii="Times New Roman" w:hAnsi="Times New Roman" w:eastAsia="方正仿宋_GBK" w:cs="Times New Roman"/>
          <w:color w:val="auto"/>
          <w:sz w:val="32"/>
          <w:szCs w:val="32"/>
          <w:lang w:eastAsia="zh-CN"/>
        </w:rPr>
        <w:t>月</w:t>
      </w:r>
      <w:r>
        <w:rPr>
          <w:rFonts w:hint="eastAsia" w:ascii="Times New Roman" w:hAnsi="Times New Roman" w:cs="Times New Roman"/>
          <w:color w:val="auto"/>
          <w:sz w:val="32"/>
          <w:szCs w:val="32"/>
          <w:lang w:val="en-US" w:eastAsia="zh-CN"/>
        </w:rPr>
        <w:t>25</w:t>
      </w:r>
      <w:r>
        <w:rPr>
          <w:rFonts w:hint="eastAsia" w:ascii="Times New Roman" w:hAnsi="Times New Roman" w:eastAsia="方正仿宋_GBK" w:cs="Times New Roman"/>
          <w:color w:val="auto"/>
          <w:sz w:val="32"/>
          <w:szCs w:val="32"/>
          <w:lang w:eastAsia="zh-CN"/>
        </w:rPr>
        <w:t>日</w:t>
      </w:r>
      <w:r>
        <w:rPr>
          <w:rFonts w:hint="eastAsia"/>
          <w:color w:val="auto"/>
          <w:szCs w:val="32"/>
        </w:rPr>
        <w:t>发布了实施</w:t>
      </w:r>
      <w:r>
        <w:rPr>
          <w:rFonts w:hint="eastAsia" w:ascii="Times New Roman" w:hAnsi="Times New Roman" w:eastAsia="方正仿宋_GBK"/>
          <w:color w:val="auto"/>
          <w:sz w:val="32"/>
          <w:szCs w:val="32"/>
          <w:lang w:eastAsia="zh-CN"/>
        </w:rPr>
        <w:t>绕城路大宁河大桥项目</w:t>
      </w:r>
      <w:r>
        <w:rPr>
          <w:rFonts w:hint="eastAsia"/>
          <w:color w:val="auto"/>
          <w:szCs w:val="32"/>
        </w:rPr>
        <w:t>的征收土地预公告</w:t>
      </w:r>
      <w:r>
        <w:rPr>
          <w:rFonts w:hint="eastAsia"/>
          <w:color w:val="auto"/>
          <w:szCs w:val="32"/>
          <w:lang w:eastAsia="zh-CN"/>
        </w:rPr>
        <w:t>《巫溪县人民政府关于征收宁河街道白鹅社区1组等1个街道2个社区1个组土地（部分）的预公告》（</w:t>
      </w:r>
      <w:r>
        <w:rPr>
          <w:rFonts w:hint="eastAsia"/>
          <w:color w:val="auto"/>
          <w:kern w:val="0"/>
          <w:szCs w:val="32"/>
          <w:lang w:eastAsia="zh-CN"/>
        </w:rPr>
        <w:t>巫溪府征地预公告</w:t>
      </w:r>
      <w:r>
        <w:rPr>
          <w:color w:val="auto"/>
          <w:kern w:val="0"/>
          <w:szCs w:val="32"/>
        </w:rPr>
        <w:t>〔202</w:t>
      </w:r>
      <w:r>
        <w:rPr>
          <w:rFonts w:hint="eastAsia"/>
          <w:color w:val="auto"/>
          <w:kern w:val="0"/>
          <w:szCs w:val="32"/>
          <w:lang w:val="en-US" w:eastAsia="zh-CN"/>
        </w:rPr>
        <w:t>2</w:t>
      </w:r>
      <w:r>
        <w:rPr>
          <w:color w:val="auto"/>
          <w:kern w:val="0"/>
          <w:szCs w:val="32"/>
        </w:rPr>
        <w:t>〕</w:t>
      </w:r>
      <w:r>
        <w:rPr>
          <w:rFonts w:hint="eastAsia"/>
          <w:color w:val="auto"/>
          <w:kern w:val="0"/>
          <w:szCs w:val="32"/>
          <w:lang w:val="en-US" w:eastAsia="zh-CN"/>
        </w:rPr>
        <w:t>2</w:t>
      </w:r>
      <w:r>
        <w:rPr>
          <w:color w:val="auto"/>
          <w:kern w:val="0"/>
          <w:szCs w:val="32"/>
        </w:rPr>
        <w:t>号</w:t>
      </w:r>
      <w:r>
        <w:rPr>
          <w:rFonts w:hint="eastAsia"/>
          <w:color w:val="auto"/>
          <w:szCs w:val="32"/>
          <w:lang w:eastAsia="zh-CN"/>
        </w:rPr>
        <w:t>）</w:t>
      </w:r>
      <w:r>
        <w:rPr>
          <w:rFonts w:hint="eastAsia"/>
          <w:color w:val="auto"/>
          <w:szCs w:val="32"/>
        </w:rPr>
        <w:t>，并根据社会稳定风险评估和土地现状调查结果，组织有关部门拟定了实施</w:t>
      </w:r>
      <w:r>
        <w:rPr>
          <w:rFonts w:hint="eastAsia" w:ascii="Times New Roman" w:hAnsi="Times New Roman" w:eastAsia="方正仿宋_GBK" w:cs="Times New Roman"/>
          <w:color w:val="auto"/>
          <w:sz w:val="32"/>
          <w:szCs w:val="32"/>
          <w:lang w:eastAsia="zh-CN"/>
        </w:rPr>
        <w:t>绕城路大宁河大桥项目</w:t>
      </w:r>
      <w:r>
        <w:rPr>
          <w:rFonts w:hint="eastAsia"/>
          <w:color w:val="auto"/>
          <w:szCs w:val="32"/>
        </w:rPr>
        <w:t>的征地补偿安置方案，现将具体内容和有关事项公告如下：</w:t>
      </w:r>
    </w:p>
    <w:p>
      <w:pPr>
        <w:spacing w:line="578" w:lineRule="exact"/>
        <w:ind w:firstLine="631"/>
        <w:rPr>
          <w:rFonts w:eastAsia="方正黑体_GBK"/>
          <w:color w:val="auto"/>
          <w:szCs w:val="32"/>
        </w:rPr>
      </w:pPr>
      <w:r>
        <w:rPr>
          <w:rFonts w:hint="eastAsia" w:eastAsia="方正黑体_GBK"/>
          <w:color w:val="auto"/>
          <w:szCs w:val="32"/>
        </w:rPr>
        <w:t>一、</w:t>
      </w:r>
      <w:r>
        <w:rPr>
          <w:rFonts w:eastAsia="方正黑体_GBK"/>
          <w:color w:val="auto"/>
          <w:szCs w:val="32"/>
        </w:rPr>
        <w:t>补偿安置具体内容</w:t>
      </w:r>
    </w:p>
    <w:p>
      <w:pPr>
        <w:spacing w:line="578" w:lineRule="exact"/>
        <w:ind w:firstLine="631"/>
        <w:rPr>
          <w:color w:val="auto"/>
          <w:szCs w:val="32"/>
        </w:rPr>
      </w:pPr>
      <w:r>
        <w:rPr>
          <w:color w:val="auto"/>
          <w:szCs w:val="32"/>
        </w:rPr>
        <w:t>详见附件</w:t>
      </w:r>
      <w:r>
        <w:rPr>
          <w:rFonts w:hint="eastAsia"/>
          <w:color w:val="auto"/>
          <w:szCs w:val="32"/>
        </w:rPr>
        <w:t>《巫溪县人民政府关于实施</w:t>
      </w:r>
      <w:r>
        <w:rPr>
          <w:rFonts w:hint="eastAsia" w:ascii="Times New Roman" w:hAnsi="Times New Roman" w:eastAsia="方正仿宋_GBK" w:cs="Times New Roman"/>
          <w:color w:val="auto"/>
          <w:sz w:val="32"/>
          <w:szCs w:val="32"/>
          <w:lang w:eastAsia="zh-CN"/>
        </w:rPr>
        <w:t>绕城路大宁河大桥项目</w:t>
      </w:r>
      <w:r>
        <w:rPr>
          <w:rFonts w:hint="eastAsia"/>
          <w:color w:val="auto"/>
          <w:szCs w:val="32"/>
        </w:rPr>
        <w:t>征收</w:t>
      </w:r>
      <w:r>
        <w:rPr>
          <w:rFonts w:hint="eastAsia"/>
          <w:color w:val="auto"/>
          <w:szCs w:val="32"/>
          <w:lang w:eastAsia="zh-CN"/>
        </w:rPr>
        <w:t>宁河街道白鹅社区1组等1个街道2个社区1个组</w:t>
      </w:r>
      <w:r>
        <w:rPr>
          <w:rFonts w:hint="eastAsia"/>
          <w:color w:val="auto"/>
          <w:szCs w:val="32"/>
        </w:rPr>
        <w:t>集体土地（部分）补偿安置方案》</w:t>
      </w:r>
      <w:r>
        <w:rPr>
          <w:color w:val="auto"/>
          <w:szCs w:val="32"/>
        </w:rPr>
        <w:t>。</w:t>
      </w:r>
    </w:p>
    <w:p>
      <w:pPr>
        <w:spacing w:line="578" w:lineRule="exact"/>
        <w:ind w:firstLine="631"/>
        <w:rPr>
          <w:rFonts w:eastAsia="方正黑体_GBK"/>
          <w:color w:val="auto"/>
          <w:szCs w:val="32"/>
        </w:rPr>
      </w:pPr>
      <w:r>
        <w:rPr>
          <w:rFonts w:eastAsia="方正黑体_GBK"/>
          <w:color w:val="auto"/>
          <w:szCs w:val="32"/>
        </w:rPr>
        <w:t>二、异议反馈渠道</w:t>
      </w:r>
    </w:p>
    <w:p>
      <w:pPr>
        <w:spacing w:line="578" w:lineRule="exact"/>
        <w:ind w:firstLine="632" w:firstLineChars="200"/>
        <w:rPr>
          <w:color w:val="auto"/>
          <w:szCs w:val="32"/>
        </w:rPr>
      </w:pPr>
      <w:r>
        <w:rPr>
          <w:color w:val="auto"/>
          <w:szCs w:val="32"/>
        </w:rPr>
        <w:t>被征地的农村集体经济组织及其成员、村民委员会和其他利害关系人对</w:t>
      </w:r>
      <w:r>
        <w:rPr>
          <w:rFonts w:hint="eastAsia"/>
          <w:color w:val="auto"/>
          <w:szCs w:val="32"/>
        </w:rPr>
        <w:t>《巫溪县人民政府关于</w:t>
      </w:r>
      <w:r>
        <w:rPr>
          <w:rFonts w:hint="eastAsia" w:ascii="Times New Roman" w:hAnsi="Times New Roman" w:eastAsia="方正仿宋_GBK" w:cs="Times New Roman"/>
          <w:color w:val="auto"/>
          <w:sz w:val="32"/>
          <w:szCs w:val="32"/>
          <w:lang w:eastAsia="zh-CN"/>
        </w:rPr>
        <w:t>绕城路大宁河大桥项目</w:t>
      </w:r>
      <w:r>
        <w:rPr>
          <w:rFonts w:hint="eastAsia"/>
          <w:color w:val="auto"/>
          <w:szCs w:val="32"/>
        </w:rPr>
        <w:t>征收</w:t>
      </w:r>
      <w:r>
        <w:rPr>
          <w:rFonts w:hint="eastAsia"/>
          <w:color w:val="auto"/>
          <w:szCs w:val="32"/>
          <w:lang w:eastAsia="zh-CN"/>
        </w:rPr>
        <w:t>宁河街道白鹅社区1组等1个街道2个社区1个组</w:t>
      </w:r>
      <w:r>
        <w:rPr>
          <w:rFonts w:hint="eastAsia"/>
          <w:color w:val="auto"/>
          <w:szCs w:val="32"/>
        </w:rPr>
        <w:t>集体土地（部分）补偿安置方案》</w:t>
      </w:r>
      <w:r>
        <w:rPr>
          <w:color w:val="auto"/>
          <w:szCs w:val="32"/>
        </w:rPr>
        <w:t>有异议的，应当于公告期满前通过信函或当面提交方式，向县土地征收中心提出书面意见，书面意见应当签字、加盖手印（印章）并附具身份证明材料（地址</w:t>
      </w:r>
      <w:r>
        <w:rPr>
          <w:rFonts w:hint="eastAsia"/>
          <w:color w:val="auto"/>
          <w:szCs w:val="32"/>
        </w:rPr>
        <w:t>：</w:t>
      </w:r>
      <w:r>
        <w:rPr>
          <w:color w:val="auto"/>
          <w:szCs w:val="32"/>
        </w:rPr>
        <w:t>巫溪县马镇坝春申大道158号</w:t>
      </w:r>
      <w:r>
        <w:rPr>
          <w:rFonts w:hint="eastAsia"/>
          <w:color w:val="auto"/>
          <w:szCs w:val="32"/>
          <w:lang w:val="en-US" w:eastAsia="zh-CN"/>
        </w:rPr>
        <w:t>407</w:t>
      </w:r>
      <w:r>
        <w:rPr>
          <w:color w:val="auto"/>
          <w:szCs w:val="32"/>
        </w:rPr>
        <w:t>办公室</w:t>
      </w:r>
      <w:r>
        <w:rPr>
          <w:rFonts w:hint="eastAsia"/>
          <w:color w:val="auto"/>
          <w:szCs w:val="32"/>
        </w:rPr>
        <w:t>；</w:t>
      </w:r>
      <w:r>
        <w:rPr>
          <w:color w:val="auto"/>
          <w:szCs w:val="32"/>
        </w:rPr>
        <w:t>邮编</w:t>
      </w:r>
      <w:r>
        <w:rPr>
          <w:rFonts w:hint="eastAsia"/>
          <w:color w:val="auto"/>
          <w:szCs w:val="32"/>
        </w:rPr>
        <w:t>：</w:t>
      </w:r>
      <w:r>
        <w:rPr>
          <w:color w:val="auto"/>
          <w:szCs w:val="32"/>
        </w:rPr>
        <w:t>405800</w:t>
      </w:r>
      <w:r>
        <w:rPr>
          <w:rFonts w:hint="eastAsia" w:ascii="Times New Roman" w:hAnsi="Times New Roman"/>
          <w:color w:val="auto"/>
          <w:szCs w:val="32"/>
        </w:rPr>
        <w:t>；</w:t>
      </w:r>
      <w:r>
        <w:rPr>
          <w:rFonts w:ascii="Times New Roman" w:hAnsi="Times New Roman"/>
          <w:color w:val="auto"/>
          <w:szCs w:val="32"/>
        </w:rPr>
        <w:t>联系人</w:t>
      </w:r>
      <w:r>
        <w:rPr>
          <w:rFonts w:hint="eastAsia" w:ascii="Times New Roman" w:hAnsi="Times New Roman"/>
          <w:color w:val="auto"/>
          <w:szCs w:val="32"/>
        </w:rPr>
        <w:t>：</w:t>
      </w:r>
      <w:r>
        <w:rPr>
          <w:rFonts w:hint="eastAsia" w:ascii="Times New Roman" w:hAnsi="Times New Roman"/>
          <w:color w:val="auto"/>
          <w:szCs w:val="32"/>
          <w:lang w:eastAsia="zh-CN"/>
        </w:rPr>
        <w:t>杨大平</w:t>
      </w:r>
      <w:r>
        <w:rPr>
          <w:rFonts w:hint="eastAsia"/>
          <w:color w:val="auto"/>
          <w:szCs w:val="32"/>
        </w:rPr>
        <w:t>；</w:t>
      </w:r>
      <w:r>
        <w:rPr>
          <w:color w:val="auto"/>
          <w:szCs w:val="32"/>
        </w:rPr>
        <w:t>联系电话</w:t>
      </w:r>
      <w:r>
        <w:rPr>
          <w:rFonts w:hint="eastAsia"/>
          <w:color w:val="auto"/>
          <w:szCs w:val="32"/>
        </w:rPr>
        <w:t>：</w:t>
      </w:r>
      <w:r>
        <w:rPr>
          <w:color w:val="auto"/>
          <w:szCs w:val="32"/>
        </w:rPr>
        <w:t>1</w:t>
      </w:r>
      <w:r>
        <w:rPr>
          <w:rFonts w:hint="eastAsia"/>
          <w:color w:val="auto"/>
          <w:szCs w:val="32"/>
          <w:lang w:val="en-US" w:eastAsia="zh-CN"/>
        </w:rPr>
        <w:t>5215156434</w:t>
      </w:r>
      <w:r>
        <w:rPr>
          <w:color w:val="auto"/>
          <w:szCs w:val="32"/>
        </w:rPr>
        <w:t>）。</w:t>
      </w:r>
    </w:p>
    <w:p>
      <w:pPr>
        <w:spacing w:line="578" w:lineRule="exact"/>
        <w:ind w:firstLine="632" w:firstLineChars="200"/>
        <w:rPr>
          <w:color w:val="auto"/>
          <w:szCs w:val="32"/>
        </w:rPr>
      </w:pPr>
      <w:r>
        <w:rPr>
          <w:color w:val="auto"/>
          <w:szCs w:val="32"/>
        </w:rPr>
        <w:t>多数被征地的农村集体经济组织成员认为</w:t>
      </w:r>
      <w:r>
        <w:rPr>
          <w:rFonts w:hint="eastAsia"/>
          <w:color w:val="auto"/>
          <w:szCs w:val="32"/>
        </w:rPr>
        <w:t>《巫溪县人民政府关于</w:t>
      </w:r>
      <w:r>
        <w:rPr>
          <w:rFonts w:hint="eastAsia"/>
          <w:color w:val="auto"/>
          <w:szCs w:val="32"/>
          <w:lang w:eastAsia="zh-CN"/>
        </w:rPr>
        <w:t>实施</w:t>
      </w:r>
      <w:r>
        <w:rPr>
          <w:rFonts w:hint="eastAsia" w:ascii="Times New Roman" w:hAnsi="Times New Roman" w:eastAsia="方正仿宋_GBK" w:cs="Times New Roman"/>
          <w:color w:val="auto"/>
          <w:sz w:val="32"/>
          <w:szCs w:val="32"/>
          <w:lang w:eastAsia="zh-CN"/>
        </w:rPr>
        <w:t>绕城路大宁河大桥项目</w:t>
      </w:r>
      <w:r>
        <w:rPr>
          <w:rFonts w:hint="eastAsia"/>
          <w:color w:val="auto"/>
          <w:szCs w:val="32"/>
        </w:rPr>
        <w:t>征收</w:t>
      </w:r>
      <w:r>
        <w:rPr>
          <w:rFonts w:hint="eastAsia"/>
          <w:color w:val="auto"/>
          <w:szCs w:val="32"/>
          <w:lang w:eastAsia="zh-CN"/>
        </w:rPr>
        <w:t>宁河街道白鹅社区1组等1个街道2个社区1个组</w:t>
      </w:r>
      <w:r>
        <w:rPr>
          <w:rFonts w:hint="eastAsia"/>
          <w:color w:val="auto"/>
          <w:szCs w:val="32"/>
        </w:rPr>
        <w:t>集体土地（部分）补偿安置方案》</w:t>
      </w:r>
      <w:r>
        <w:rPr>
          <w:color w:val="auto"/>
          <w:szCs w:val="32"/>
        </w:rPr>
        <w:t>不符合法律、法规规定的，</w:t>
      </w:r>
      <w:r>
        <w:rPr>
          <w:rFonts w:hint="eastAsia"/>
          <w:color w:val="auto"/>
          <w:szCs w:val="32"/>
        </w:rPr>
        <w:t>应于公告期满前通过信函或当面提交方式，向县人民政</w:t>
      </w:r>
      <w:r>
        <w:rPr>
          <w:color w:val="auto"/>
          <w:szCs w:val="32"/>
        </w:rPr>
        <w:t>府</w:t>
      </w:r>
      <w:r>
        <w:rPr>
          <w:rFonts w:hint="eastAsia"/>
          <w:color w:val="auto"/>
          <w:szCs w:val="32"/>
        </w:rPr>
        <w:t>提出书面听证申请，申请应当签字、加盖手印（印章）并附具身份证明材料，县人民政</w:t>
      </w:r>
      <w:r>
        <w:rPr>
          <w:color w:val="auto"/>
          <w:szCs w:val="32"/>
        </w:rPr>
        <w:t>府将依法组织听证。</w:t>
      </w:r>
    </w:p>
    <w:p>
      <w:pPr>
        <w:spacing w:line="578" w:lineRule="exact"/>
        <w:rPr>
          <w:rFonts w:eastAsia="方正黑体_GBK"/>
          <w:color w:val="auto"/>
          <w:szCs w:val="32"/>
        </w:rPr>
      </w:pPr>
      <w:r>
        <w:rPr>
          <w:rFonts w:hint="eastAsia" w:eastAsia="方正黑体_GBK"/>
          <w:color w:val="auto"/>
          <w:szCs w:val="32"/>
        </w:rPr>
        <w:t xml:space="preserve">    三、</w:t>
      </w:r>
      <w:r>
        <w:rPr>
          <w:rFonts w:eastAsia="方正黑体_GBK"/>
          <w:color w:val="auto"/>
          <w:szCs w:val="32"/>
        </w:rPr>
        <w:t>办理补偿安置登记和签订征地补偿安置协议的方式、期限</w:t>
      </w:r>
    </w:p>
    <w:p>
      <w:pPr>
        <w:spacing w:line="578" w:lineRule="exact"/>
        <w:rPr>
          <w:color w:val="auto"/>
          <w:szCs w:val="32"/>
        </w:rPr>
      </w:pPr>
      <w:r>
        <w:rPr>
          <w:rFonts w:hint="eastAsia"/>
          <w:color w:val="auto"/>
          <w:szCs w:val="32"/>
        </w:rPr>
        <w:t xml:space="preserve">    被征收土地的所有权人、使用权人应在本公告发布之日起20日内持土地权属证书到</w:t>
      </w:r>
      <w:r>
        <w:rPr>
          <w:rFonts w:hint="eastAsia"/>
          <w:color w:val="auto"/>
          <w:szCs w:val="32"/>
          <w:lang w:eastAsia="zh-CN"/>
        </w:rPr>
        <w:t>宁河街道办事处</w:t>
      </w:r>
      <w:r>
        <w:rPr>
          <w:rFonts w:hint="eastAsia"/>
          <w:color w:val="auto"/>
          <w:szCs w:val="32"/>
        </w:rPr>
        <w:t>办理征地补偿登记，逾期未登记的，以</w:t>
      </w:r>
      <w:r>
        <w:rPr>
          <w:rFonts w:hint="eastAsia"/>
          <w:color w:val="auto"/>
          <w:szCs w:val="32"/>
          <w:u w:val="none"/>
        </w:rPr>
        <w:t>县土地整理征收中心</w:t>
      </w:r>
      <w:r>
        <w:rPr>
          <w:rFonts w:hint="eastAsia"/>
          <w:color w:val="auto"/>
          <w:szCs w:val="32"/>
        </w:rPr>
        <w:t>会同</w:t>
      </w:r>
      <w:r>
        <w:rPr>
          <w:rFonts w:hint="eastAsia"/>
          <w:color w:val="auto"/>
          <w:szCs w:val="32"/>
          <w:lang w:eastAsia="zh-CN"/>
        </w:rPr>
        <w:t>宁河街道办事处</w:t>
      </w:r>
      <w:r>
        <w:rPr>
          <w:rFonts w:hint="eastAsia"/>
          <w:color w:val="auto"/>
          <w:szCs w:val="32"/>
        </w:rPr>
        <w:t>调查确认的依据为准</w:t>
      </w:r>
      <w:r>
        <w:rPr>
          <w:color w:val="auto"/>
          <w:szCs w:val="32"/>
        </w:rPr>
        <w:t>。</w:t>
      </w:r>
    </w:p>
    <w:p>
      <w:pPr>
        <w:spacing w:line="578" w:lineRule="exact"/>
        <w:ind w:firstLine="632" w:firstLineChars="200"/>
        <w:rPr>
          <w:rFonts w:eastAsia="方正黑体_GBK"/>
          <w:color w:val="auto"/>
          <w:szCs w:val="32"/>
        </w:rPr>
      </w:pPr>
      <w:r>
        <w:rPr>
          <w:rFonts w:eastAsia="方正黑体_GBK"/>
          <w:color w:val="auto"/>
          <w:szCs w:val="32"/>
        </w:rPr>
        <w:t>四、确定具体人员安置对象的期限</w:t>
      </w:r>
    </w:p>
    <w:p>
      <w:pPr>
        <w:spacing w:line="578" w:lineRule="exact"/>
        <w:ind w:firstLine="632" w:firstLineChars="200"/>
        <w:rPr>
          <w:color w:val="auto"/>
          <w:szCs w:val="32"/>
        </w:rPr>
      </w:pPr>
      <w:r>
        <w:rPr>
          <w:color w:val="auto"/>
          <w:szCs w:val="32"/>
        </w:rPr>
        <w:t>被征地农村集体经济组织应当于本公告期满前，按照《巫溪县集体土地征收补偿安置实施办法》（巫溪府发〔2021〕13号）第十六条规定确定具体的人员安置对象，未在规定期限内确定的，由</w:t>
      </w:r>
      <w:r>
        <w:rPr>
          <w:color w:val="auto"/>
          <w:szCs w:val="32"/>
          <w:u w:val="none"/>
        </w:rPr>
        <w:t>县土地整理征收中心</w:t>
      </w:r>
      <w:r>
        <w:rPr>
          <w:color w:val="auto"/>
          <w:szCs w:val="32"/>
        </w:rPr>
        <w:t>会同</w:t>
      </w:r>
      <w:r>
        <w:rPr>
          <w:rFonts w:hint="default"/>
          <w:color w:val="auto"/>
          <w:szCs w:val="32"/>
          <w:lang w:eastAsia="zh-CN"/>
        </w:rPr>
        <w:t>宁河街道</w:t>
      </w:r>
      <w:r>
        <w:rPr>
          <w:rFonts w:hint="eastAsia"/>
          <w:color w:val="auto"/>
          <w:szCs w:val="32"/>
          <w:lang w:eastAsia="zh-CN"/>
        </w:rPr>
        <w:t>办事处</w:t>
      </w:r>
      <w:r>
        <w:rPr>
          <w:rFonts w:hint="default"/>
          <w:color w:val="auto"/>
          <w:szCs w:val="32"/>
        </w:rPr>
        <w:t>按照有关规定和原</w:t>
      </w:r>
      <w:r>
        <w:rPr>
          <w:rFonts w:hint="eastAsia"/>
          <w:color w:val="auto"/>
          <w:szCs w:val="32"/>
        </w:rPr>
        <w:t>则拟定。具体人员安置对象按有关规定公示、初审、复核和核准</w:t>
      </w:r>
      <w:r>
        <w:rPr>
          <w:color w:val="auto"/>
          <w:szCs w:val="32"/>
        </w:rPr>
        <w:t>。</w:t>
      </w:r>
    </w:p>
    <w:p>
      <w:pPr>
        <w:spacing w:line="578" w:lineRule="exact"/>
        <w:ind w:left="632" w:hanging="632" w:hangingChars="200"/>
        <w:rPr>
          <w:color w:val="auto"/>
          <w:szCs w:val="32"/>
        </w:rPr>
      </w:pPr>
      <w:r>
        <w:rPr>
          <w:rFonts w:hint="eastAsia"/>
          <w:color w:val="auto"/>
          <w:szCs w:val="32"/>
        </w:rPr>
        <w:t xml:space="preserve">    </w:t>
      </w:r>
      <w:r>
        <w:rPr>
          <w:color w:val="auto"/>
          <w:szCs w:val="32"/>
        </w:rPr>
        <w:t>本公告自发布之日起施行，公告期限为30日。</w:t>
      </w:r>
    </w:p>
    <w:p>
      <w:pPr>
        <w:spacing w:line="578" w:lineRule="exact"/>
        <w:ind w:left="632" w:hanging="632" w:hangingChars="200"/>
        <w:rPr>
          <w:color w:val="auto"/>
          <w:szCs w:val="32"/>
        </w:rPr>
      </w:pPr>
      <w:r>
        <w:rPr>
          <w:rFonts w:hint="eastAsia"/>
          <w:color w:val="auto"/>
          <w:szCs w:val="32"/>
        </w:rPr>
        <w:t xml:space="preserve">    </w:t>
      </w:r>
      <w:r>
        <w:rPr>
          <w:color w:val="auto"/>
          <w:szCs w:val="32"/>
        </w:rPr>
        <w:t>特此公告</w:t>
      </w:r>
      <w:r>
        <w:rPr>
          <w:rFonts w:hint="eastAsia"/>
          <w:color w:val="auto"/>
          <w:szCs w:val="32"/>
        </w:rPr>
        <w:t>。</w:t>
      </w:r>
    </w:p>
    <w:p>
      <w:pPr>
        <w:pStyle w:val="17"/>
        <w:tabs>
          <w:tab w:val="left" w:pos="7513"/>
        </w:tabs>
        <w:spacing w:after="0" w:line="578" w:lineRule="exact"/>
        <w:ind w:firstLine="316"/>
        <w:rPr>
          <w:rFonts w:ascii="Times New Roman" w:hAnsi="Times New Roman"/>
          <w:color w:val="auto"/>
        </w:rPr>
      </w:pPr>
    </w:p>
    <w:p>
      <w:pPr>
        <w:spacing w:line="578" w:lineRule="exact"/>
        <w:ind w:left="1579" w:hanging="1580" w:hangingChars="500"/>
        <w:rPr>
          <w:rFonts w:hint="eastAsia"/>
          <w:color w:val="auto"/>
          <w:szCs w:val="32"/>
        </w:rPr>
      </w:pPr>
      <w:r>
        <w:rPr>
          <w:rFonts w:hint="eastAsia"/>
          <w:color w:val="auto"/>
          <w:szCs w:val="32"/>
        </w:rPr>
        <w:t xml:space="preserve">    </w:t>
      </w:r>
      <w:r>
        <w:rPr>
          <w:color w:val="auto"/>
          <w:szCs w:val="32"/>
        </w:rPr>
        <w:t>附件</w:t>
      </w:r>
      <w:r>
        <w:rPr>
          <w:rFonts w:hint="eastAsia"/>
          <w:color w:val="auto"/>
          <w:szCs w:val="32"/>
        </w:rPr>
        <w:t>：巫溪县人民政府关于</w:t>
      </w:r>
      <w:r>
        <w:rPr>
          <w:rFonts w:hint="eastAsia"/>
          <w:color w:val="auto"/>
          <w:szCs w:val="32"/>
          <w:lang w:eastAsia="zh-CN"/>
        </w:rPr>
        <w:t>实施</w:t>
      </w:r>
      <w:r>
        <w:rPr>
          <w:rFonts w:hint="eastAsia" w:ascii="Times New Roman" w:hAnsi="Times New Roman" w:eastAsia="方正仿宋_GBK" w:cs="Times New Roman"/>
          <w:color w:val="auto"/>
          <w:sz w:val="32"/>
          <w:szCs w:val="32"/>
          <w:lang w:eastAsia="zh-CN"/>
        </w:rPr>
        <w:t>绕城路大宁河大桥项目</w:t>
      </w:r>
      <w:r>
        <w:rPr>
          <w:rFonts w:hint="eastAsia"/>
          <w:color w:val="auto"/>
          <w:szCs w:val="32"/>
        </w:rPr>
        <w:t>征收</w:t>
      </w:r>
      <w:r>
        <w:rPr>
          <w:rFonts w:hint="eastAsia"/>
          <w:color w:val="auto"/>
          <w:szCs w:val="32"/>
          <w:lang w:eastAsia="zh-CN"/>
        </w:rPr>
        <w:t>宁河街道白鹅社区1组等1个街道2个社区1个组</w:t>
      </w:r>
      <w:r>
        <w:rPr>
          <w:rFonts w:hint="eastAsia"/>
          <w:color w:val="auto"/>
          <w:szCs w:val="32"/>
        </w:rPr>
        <w:t>集体土地（部分）补偿安置方案</w:t>
      </w:r>
    </w:p>
    <w:p>
      <w:pPr>
        <w:pStyle w:val="17"/>
        <w:tabs>
          <w:tab w:val="left" w:pos="7513"/>
        </w:tabs>
        <w:spacing w:after="0" w:line="578" w:lineRule="exact"/>
        <w:ind w:firstLine="0" w:firstLineChars="0"/>
        <w:rPr>
          <w:rFonts w:ascii="Times New Roman" w:hAnsi="Times New Roman"/>
          <w:color w:val="auto"/>
        </w:rPr>
      </w:pPr>
    </w:p>
    <w:p>
      <w:pPr>
        <w:pStyle w:val="17"/>
        <w:tabs>
          <w:tab w:val="left" w:pos="7513"/>
        </w:tabs>
        <w:spacing w:after="0" w:line="578" w:lineRule="exact"/>
        <w:ind w:firstLine="0" w:firstLineChars="0"/>
        <w:rPr>
          <w:rFonts w:ascii="Times New Roman" w:hAnsi="Times New Roman"/>
          <w:color w:val="auto"/>
        </w:rPr>
      </w:pPr>
    </w:p>
    <w:p>
      <w:pPr>
        <w:spacing w:line="578" w:lineRule="exact"/>
        <w:ind w:firstLine="5100" w:firstLineChars="1614"/>
        <w:rPr>
          <w:color w:val="auto"/>
          <w:szCs w:val="32"/>
        </w:rPr>
      </w:pPr>
      <w:r>
        <w:rPr>
          <w:color w:val="auto"/>
          <w:szCs w:val="32"/>
        </w:rPr>
        <w:t xml:space="preserve">巫溪县人民政府       </w:t>
      </w:r>
    </w:p>
    <w:p>
      <w:pPr>
        <w:tabs>
          <w:tab w:val="left" w:pos="7513"/>
        </w:tabs>
        <w:spacing w:line="578" w:lineRule="exact"/>
        <w:rPr>
          <w:color w:val="auto"/>
          <w:szCs w:val="32"/>
        </w:rPr>
      </w:pPr>
      <w:r>
        <w:rPr>
          <w:rFonts w:hint="eastAsia"/>
          <w:color w:val="auto"/>
          <w:szCs w:val="32"/>
        </w:rPr>
        <w:t xml:space="preserve">                                </w:t>
      </w:r>
      <w:r>
        <w:rPr>
          <w:color w:val="auto"/>
          <w:szCs w:val="32"/>
        </w:rPr>
        <w:t>202</w:t>
      </w:r>
      <w:r>
        <w:rPr>
          <w:rFonts w:hint="eastAsia"/>
          <w:color w:val="auto"/>
          <w:szCs w:val="32"/>
          <w:lang w:val="en-US" w:eastAsia="zh-CN"/>
        </w:rPr>
        <w:t>2</w:t>
      </w:r>
      <w:r>
        <w:rPr>
          <w:color w:val="auto"/>
          <w:szCs w:val="32"/>
        </w:rPr>
        <w:t>年</w:t>
      </w:r>
      <w:r>
        <w:rPr>
          <w:rFonts w:hint="eastAsia"/>
          <w:color w:val="auto"/>
          <w:szCs w:val="32"/>
          <w:lang w:val="en-US" w:eastAsia="zh-CN"/>
        </w:rPr>
        <w:t>7</w:t>
      </w:r>
      <w:r>
        <w:rPr>
          <w:color w:val="auto"/>
          <w:szCs w:val="32"/>
        </w:rPr>
        <w:t>月</w:t>
      </w:r>
      <w:r>
        <w:rPr>
          <w:rFonts w:hint="eastAsia"/>
          <w:color w:val="auto"/>
          <w:szCs w:val="32"/>
          <w:lang w:val="en-US" w:eastAsia="zh-CN"/>
        </w:rPr>
        <w:t>25</w:t>
      </w:r>
      <w:r>
        <w:rPr>
          <w:color w:val="auto"/>
          <w:szCs w:val="32"/>
        </w:rPr>
        <w:t>日</w:t>
      </w:r>
    </w:p>
    <w:p>
      <w:pPr>
        <w:spacing w:line="578" w:lineRule="exact"/>
        <w:ind w:left="1557" w:leftChars="193" w:hanging="948" w:hangingChars="300"/>
        <w:rPr>
          <w:rFonts w:hint="eastAsia"/>
          <w:color w:val="auto"/>
          <w:szCs w:val="32"/>
          <w:lang w:eastAsia="zh-CN"/>
        </w:rPr>
      </w:pPr>
    </w:p>
    <w:p>
      <w:pPr>
        <w:rPr>
          <w:rFonts w:eastAsia="方正黑体_GBK"/>
          <w:color w:val="auto"/>
          <w:kern w:val="0"/>
          <w:szCs w:val="32"/>
        </w:rPr>
      </w:pPr>
      <w:r>
        <w:rPr>
          <w:rFonts w:eastAsia="方正黑体_GBK"/>
          <w:color w:val="auto"/>
          <w:kern w:val="0"/>
          <w:szCs w:val="32"/>
        </w:rPr>
        <w:t>附件</w:t>
      </w:r>
    </w:p>
    <w:p>
      <w:pPr>
        <w:spacing w:line="240" w:lineRule="auto"/>
        <w:rPr>
          <w:rFonts w:eastAsia="方正小标宋_GBK"/>
          <w:color w:val="auto"/>
          <w:kern w:val="0"/>
          <w:sz w:val="44"/>
          <w:szCs w:val="44"/>
        </w:rPr>
      </w:pPr>
    </w:p>
    <w:p>
      <w:pPr>
        <w:snapToGrid w:val="0"/>
        <w:spacing w:line="700" w:lineRule="exact"/>
        <w:jc w:val="center"/>
        <w:rPr>
          <w:rFonts w:eastAsia="方正小标宋_GBK"/>
          <w:color w:val="auto"/>
          <w:kern w:val="0"/>
          <w:sz w:val="44"/>
          <w:szCs w:val="44"/>
        </w:rPr>
      </w:pPr>
      <w:r>
        <w:rPr>
          <w:rFonts w:eastAsia="方正小标宋_GBK"/>
          <w:color w:val="auto"/>
          <w:kern w:val="0"/>
          <w:sz w:val="44"/>
          <w:szCs w:val="44"/>
        </w:rPr>
        <w:t>巫溪县人民政府</w:t>
      </w:r>
    </w:p>
    <w:p>
      <w:pPr>
        <w:snapToGrid w:val="0"/>
        <w:spacing w:line="700" w:lineRule="exact"/>
        <w:jc w:val="center"/>
        <w:rPr>
          <w:rFonts w:hint="eastAsia" w:eastAsia="方正小标宋_GBK"/>
          <w:color w:val="auto"/>
          <w:kern w:val="0"/>
          <w:sz w:val="44"/>
          <w:szCs w:val="44"/>
          <w:lang w:eastAsia="zh-CN"/>
        </w:rPr>
      </w:pPr>
      <w:r>
        <w:rPr>
          <w:rFonts w:eastAsia="方正小标宋_GBK"/>
          <w:color w:val="auto"/>
          <w:kern w:val="0"/>
          <w:sz w:val="44"/>
          <w:szCs w:val="44"/>
        </w:rPr>
        <w:t>关于</w:t>
      </w:r>
      <w:r>
        <w:rPr>
          <w:rFonts w:hint="eastAsia" w:eastAsia="方正小标宋_GBK"/>
          <w:color w:val="auto"/>
          <w:kern w:val="0"/>
          <w:sz w:val="44"/>
          <w:szCs w:val="44"/>
        </w:rPr>
        <w:t>实施绕城路大宁河大桥项目</w:t>
      </w:r>
      <w:r>
        <w:rPr>
          <w:rFonts w:hint="eastAsia" w:eastAsia="方正小标宋_GBK"/>
          <w:color w:val="auto"/>
          <w:kern w:val="0"/>
          <w:sz w:val="44"/>
          <w:szCs w:val="44"/>
          <w:lang w:eastAsia="zh-CN"/>
        </w:rPr>
        <w:t>征收宁河街道白鹅社区1组等1个街道2个社区1个组</w:t>
      </w:r>
    </w:p>
    <w:p>
      <w:pPr>
        <w:snapToGrid w:val="0"/>
        <w:spacing w:line="700" w:lineRule="exact"/>
        <w:jc w:val="center"/>
        <w:rPr>
          <w:rFonts w:eastAsia="方正小标宋_GBK"/>
          <w:color w:val="auto"/>
          <w:kern w:val="0"/>
          <w:sz w:val="44"/>
          <w:szCs w:val="44"/>
        </w:rPr>
      </w:pPr>
      <w:r>
        <w:rPr>
          <w:rFonts w:hint="eastAsia" w:eastAsia="方正小标宋_GBK"/>
          <w:color w:val="auto"/>
          <w:kern w:val="0"/>
          <w:sz w:val="44"/>
          <w:szCs w:val="44"/>
        </w:rPr>
        <w:t>集体土地（部分）补偿安置方案</w:t>
      </w:r>
    </w:p>
    <w:p>
      <w:pPr>
        <w:spacing w:line="578" w:lineRule="exact"/>
        <w:rPr>
          <w:color w:val="auto"/>
          <w:szCs w:val="32"/>
        </w:rPr>
      </w:pPr>
    </w:p>
    <w:p>
      <w:pPr>
        <w:spacing w:line="578" w:lineRule="exact"/>
        <w:ind w:firstLine="640"/>
        <w:rPr>
          <w:color w:val="auto"/>
          <w:szCs w:val="32"/>
        </w:rPr>
      </w:pPr>
      <w:r>
        <w:rPr>
          <w:color w:val="auto"/>
          <w:szCs w:val="32"/>
        </w:rPr>
        <w:t>为</w:t>
      </w:r>
      <w:r>
        <w:rPr>
          <w:rFonts w:hint="eastAsia"/>
          <w:color w:val="auto"/>
          <w:szCs w:val="32"/>
        </w:rPr>
        <w:t>实施</w:t>
      </w:r>
      <w:r>
        <w:rPr>
          <w:rFonts w:hint="eastAsia" w:ascii="Times New Roman" w:hAnsi="Times New Roman" w:eastAsia="方正仿宋_GBK" w:cs="Times New Roman"/>
          <w:color w:val="auto"/>
          <w:sz w:val="32"/>
          <w:szCs w:val="32"/>
          <w:lang w:eastAsia="zh-CN"/>
        </w:rPr>
        <w:t>绕城路大宁河大桥项目</w:t>
      </w:r>
      <w:r>
        <w:rPr>
          <w:color w:val="auto"/>
          <w:szCs w:val="32"/>
        </w:rPr>
        <w:t>，根据《中华人民共和国土地管理法》</w:t>
      </w:r>
      <w:r>
        <w:rPr>
          <w:color w:val="auto"/>
          <w:spacing w:val="-4"/>
          <w:szCs w:val="32"/>
        </w:rPr>
        <w:t>《中华人民共和国土地管理法实施条例》《重庆市集体土地征收补</w:t>
      </w:r>
      <w:r>
        <w:rPr>
          <w:color w:val="auto"/>
          <w:szCs w:val="32"/>
        </w:rPr>
        <w:t>偿安置办法》（重庆市人民政府令第344号）、《重庆市人民政府关于公布征地补偿安置标准有关事项的通知》（渝府发〔2021〕14</w:t>
      </w:r>
      <w:r>
        <w:rPr>
          <w:color w:val="auto"/>
          <w:spacing w:val="-4"/>
          <w:szCs w:val="32"/>
        </w:rPr>
        <w:t>号）和</w:t>
      </w:r>
      <w:r>
        <w:rPr>
          <w:color w:val="auto"/>
          <w:spacing w:val="-4"/>
        </w:rPr>
        <w:t>《巫溪县集体土地征收补偿安置实施办法》（巫溪府发〔2021〕</w:t>
      </w:r>
      <w:r>
        <w:rPr>
          <w:color w:val="auto"/>
        </w:rPr>
        <w:t>13号）</w:t>
      </w:r>
      <w:r>
        <w:rPr>
          <w:color w:val="auto"/>
          <w:szCs w:val="32"/>
        </w:rPr>
        <w:t>等法律法规的规定，结合我县实际，拟定征地补偿安置方案如下</w:t>
      </w:r>
      <w:r>
        <w:rPr>
          <w:rFonts w:hint="eastAsia"/>
          <w:color w:val="auto"/>
          <w:szCs w:val="32"/>
        </w:rPr>
        <w:t>：</w:t>
      </w:r>
    </w:p>
    <w:p>
      <w:pPr>
        <w:spacing w:line="578" w:lineRule="exact"/>
        <w:rPr>
          <w:rFonts w:eastAsia="方正黑体_GBK"/>
          <w:color w:val="auto"/>
          <w:kern w:val="0"/>
          <w:szCs w:val="32"/>
        </w:rPr>
      </w:pPr>
      <w:r>
        <w:rPr>
          <w:rFonts w:eastAsia="方正黑体_GBK"/>
          <w:color w:val="auto"/>
          <w:kern w:val="0"/>
          <w:szCs w:val="32"/>
        </w:rPr>
        <w:t xml:space="preserve">    一、征收范围及土地现状</w:t>
      </w:r>
    </w:p>
    <w:p>
      <w:pPr>
        <w:spacing w:line="578" w:lineRule="exact"/>
        <w:ind w:firstLine="640"/>
        <w:rPr>
          <w:color w:val="auto"/>
          <w:kern w:val="0"/>
          <w:szCs w:val="32"/>
        </w:rPr>
      </w:pPr>
      <w:r>
        <w:rPr>
          <w:rFonts w:hint="eastAsia"/>
          <w:color w:val="auto"/>
          <w:szCs w:val="32"/>
        </w:rPr>
        <w:t>拟征收</w:t>
      </w:r>
      <w:r>
        <w:rPr>
          <w:rFonts w:hint="eastAsia" w:ascii="Times New Roman"/>
          <w:color w:val="auto"/>
          <w:sz w:val="32"/>
          <w:szCs w:val="32"/>
          <w:lang w:val="en-US" w:eastAsia="zh-CN"/>
        </w:rPr>
        <w:t>宁河街道白鹅社区1组等1个街道2个社区1个组</w:t>
      </w:r>
      <w:r>
        <w:rPr>
          <w:rFonts w:hint="eastAsia" w:ascii="Times New Roman" w:hAnsi="Times New Roman" w:eastAsia="方正仿宋_GBK" w:cs="方正仿宋_GBK"/>
          <w:color w:val="auto"/>
          <w:sz w:val="32"/>
          <w:szCs w:val="32"/>
        </w:rPr>
        <w:t>集体土地</w:t>
      </w:r>
      <w:r>
        <w:rPr>
          <w:rFonts w:hint="eastAsia" w:ascii="Times New Roman" w:hAnsi="Times New Roman" w:cs="Times New Roman"/>
          <w:color w:val="auto"/>
          <w:sz w:val="32"/>
          <w:szCs w:val="32"/>
          <w:lang w:val="en-US" w:eastAsia="zh-CN"/>
        </w:rPr>
        <w:t>0.6706</w:t>
      </w:r>
      <w:r>
        <w:rPr>
          <w:rFonts w:hint="eastAsia" w:ascii="Times New Roman" w:hAnsi="Times New Roman" w:eastAsia="方正仿宋_GBK" w:cs="Times New Roman"/>
          <w:color w:val="auto"/>
          <w:sz w:val="32"/>
          <w:szCs w:val="32"/>
        </w:rPr>
        <w:t>公顷</w:t>
      </w:r>
      <w:r>
        <w:rPr>
          <w:rFonts w:hint="eastAsia"/>
          <w:color w:val="auto"/>
          <w:szCs w:val="32"/>
        </w:rPr>
        <w:t>，其中：农用地</w:t>
      </w:r>
      <w:r>
        <w:rPr>
          <w:rFonts w:hint="eastAsia" w:ascii="Times New Roman" w:hAnsi="Times New Roman" w:eastAsia="方正仿宋_GBK" w:cs="Times New Roman"/>
          <w:color w:val="auto"/>
          <w:kern w:val="0"/>
          <w:sz w:val="32"/>
          <w:szCs w:val="32"/>
          <w:lang w:val="en-US" w:eastAsia="zh-CN"/>
        </w:rPr>
        <w:t>0.</w:t>
      </w:r>
      <w:r>
        <w:rPr>
          <w:rFonts w:hint="eastAsia" w:ascii="Times New Roman" w:hAnsi="Times New Roman" w:cs="Times New Roman"/>
          <w:color w:val="auto"/>
          <w:kern w:val="0"/>
          <w:sz w:val="32"/>
          <w:szCs w:val="32"/>
          <w:lang w:val="en-US" w:eastAsia="zh-CN"/>
        </w:rPr>
        <w:t>6706</w:t>
      </w:r>
      <w:r>
        <w:rPr>
          <w:rFonts w:hint="eastAsia"/>
          <w:color w:val="auto"/>
          <w:szCs w:val="32"/>
        </w:rPr>
        <w:t>公顷（</w:t>
      </w:r>
      <w:r>
        <w:rPr>
          <w:rFonts w:hint="eastAsia" w:ascii="Times New Roman" w:hAnsi="Times New Roman" w:eastAsia="方正仿宋_GBK" w:cs="Times New Roman"/>
          <w:color w:val="auto"/>
          <w:kern w:val="0"/>
          <w:sz w:val="32"/>
          <w:szCs w:val="32"/>
          <w:lang w:val="en-US" w:eastAsia="zh-CN"/>
        </w:rPr>
        <w:t>耕地0.</w:t>
      </w:r>
      <w:r>
        <w:rPr>
          <w:rFonts w:hint="eastAsia" w:ascii="Times New Roman" w:hAnsi="Times New Roman" w:cs="Times New Roman"/>
          <w:color w:val="auto"/>
          <w:kern w:val="0"/>
          <w:sz w:val="32"/>
          <w:szCs w:val="32"/>
          <w:lang w:val="en-US" w:eastAsia="zh-CN"/>
        </w:rPr>
        <w:t>3218</w:t>
      </w:r>
      <w:r>
        <w:rPr>
          <w:rFonts w:hint="eastAsia" w:ascii="Times New Roman" w:hAnsi="Times New Roman" w:eastAsia="方正仿宋_GBK" w:cs="Times New Roman"/>
          <w:color w:val="auto"/>
          <w:kern w:val="0"/>
          <w:sz w:val="32"/>
          <w:szCs w:val="32"/>
          <w:lang w:val="en-US" w:eastAsia="zh-CN"/>
        </w:rPr>
        <w:t>公顷</w:t>
      </w:r>
      <w:r>
        <w:rPr>
          <w:rFonts w:hint="eastAsia"/>
          <w:color w:val="auto"/>
          <w:szCs w:val="32"/>
        </w:rPr>
        <w:t>、</w:t>
      </w:r>
      <w:r>
        <w:rPr>
          <w:rFonts w:hint="eastAsia"/>
          <w:color w:val="auto"/>
          <w:szCs w:val="32"/>
          <w:lang w:eastAsia="zh-CN"/>
        </w:rPr>
        <w:t>林地</w:t>
      </w:r>
      <w:r>
        <w:rPr>
          <w:rFonts w:hint="eastAsia"/>
          <w:color w:val="auto"/>
          <w:szCs w:val="32"/>
          <w:lang w:val="en-US" w:eastAsia="zh-CN"/>
        </w:rPr>
        <w:t>0.2920公顷、</w:t>
      </w:r>
      <w:r>
        <w:rPr>
          <w:rFonts w:hint="eastAsia" w:ascii="Times New Roman" w:hAnsi="Times New Roman" w:eastAsia="方正仿宋_GBK" w:cs="Times New Roman"/>
          <w:color w:val="auto"/>
          <w:kern w:val="0"/>
          <w:sz w:val="32"/>
          <w:szCs w:val="32"/>
          <w:lang w:val="en-US" w:eastAsia="zh-CN"/>
        </w:rPr>
        <w:t>其他土地0.</w:t>
      </w:r>
      <w:r>
        <w:rPr>
          <w:rFonts w:hint="eastAsia" w:ascii="Times New Roman" w:hAnsi="Times New Roman" w:cs="Times New Roman"/>
          <w:color w:val="auto"/>
          <w:kern w:val="0"/>
          <w:sz w:val="32"/>
          <w:szCs w:val="32"/>
          <w:lang w:val="en-US" w:eastAsia="zh-CN"/>
        </w:rPr>
        <w:t>0568</w:t>
      </w:r>
      <w:r>
        <w:rPr>
          <w:rFonts w:hint="eastAsia" w:ascii="Times New Roman" w:hAnsi="Times New Roman" w:eastAsia="方正仿宋_GBK" w:cs="Times New Roman"/>
          <w:color w:val="auto"/>
          <w:kern w:val="0"/>
          <w:sz w:val="32"/>
          <w:szCs w:val="32"/>
          <w:lang w:val="en-US" w:eastAsia="zh-CN"/>
        </w:rPr>
        <w:t>公顷</w:t>
      </w:r>
      <w:r>
        <w:rPr>
          <w:rFonts w:hint="eastAsia"/>
          <w:color w:val="auto"/>
          <w:szCs w:val="32"/>
        </w:rPr>
        <w:t>），具体征收范围以勘测定界图（附件之附件1）为准</w:t>
      </w:r>
      <w:r>
        <w:rPr>
          <w:color w:val="auto"/>
          <w:kern w:val="0"/>
          <w:szCs w:val="32"/>
        </w:rPr>
        <w:t>。</w:t>
      </w:r>
    </w:p>
    <w:p>
      <w:pPr>
        <w:spacing w:line="578" w:lineRule="exact"/>
        <w:rPr>
          <w:rFonts w:eastAsia="方正黑体_GBK"/>
          <w:color w:val="auto"/>
          <w:kern w:val="0"/>
          <w:szCs w:val="32"/>
        </w:rPr>
      </w:pPr>
      <w:r>
        <w:rPr>
          <w:rFonts w:eastAsia="方正黑体_GBK"/>
          <w:color w:val="auto"/>
          <w:kern w:val="0"/>
          <w:szCs w:val="32"/>
        </w:rPr>
        <w:t xml:space="preserve">    二、征收目的</w:t>
      </w:r>
    </w:p>
    <w:p>
      <w:pPr>
        <w:spacing w:line="578" w:lineRule="exact"/>
        <w:ind w:firstLine="640"/>
        <w:rPr>
          <w:color w:val="auto"/>
          <w:kern w:val="0"/>
          <w:szCs w:val="32"/>
        </w:rPr>
      </w:pPr>
      <w:r>
        <w:rPr>
          <w:color w:val="auto"/>
          <w:kern w:val="0"/>
          <w:szCs w:val="32"/>
        </w:rPr>
        <w:t>土地征收后，</w:t>
      </w:r>
      <w:r>
        <w:rPr>
          <w:rFonts w:hint="eastAsia"/>
          <w:color w:val="auto"/>
          <w:kern w:val="0"/>
          <w:szCs w:val="32"/>
          <w:lang w:eastAsia="zh-CN"/>
        </w:rPr>
        <w:t>拟</w:t>
      </w:r>
      <w:r>
        <w:rPr>
          <w:rFonts w:hint="eastAsia"/>
          <w:color w:val="auto"/>
          <w:kern w:val="0"/>
          <w:szCs w:val="32"/>
        </w:rPr>
        <w:t>用于</w:t>
      </w:r>
      <w:r>
        <w:rPr>
          <w:rFonts w:hint="eastAsia"/>
          <w:color w:val="auto"/>
          <w:szCs w:val="32"/>
        </w:rPr>
        <w:t>实施</w:t>
      </w:r>
      <w:r>
        <w:rPr>
          <w:rFonts w:hint="eastAsia" w:ascii="Times New Roman" w:hAnsi="Times New Roman" w:eastAsia="方正仿宋_GBK" w:cs="Times New Roman"/>
          <w:color w:val="auto"/>
          <w:sz w:val="32"/>
          <w:szCs w:val="32"/>
          <w:lang w:eastAsia="zh-CN"/>
        </w:rPr>
        <w:t>绕城路大宁河大桥项目</w:t>
      </w:r>
      <w:r>
        <w:rPr>
          <w:color w:val="auto"/>
          <w:kern w:val="0"/>
          <w:szCs w:val="32"/>
        </w:rPr>
        <w:t>。</w:t>
      </w:r>
    </w:p>
    <w:p>
      <w:pPr>
        <w:spacing w:line="578" w:lineRule="exact"/>
        <w:rPr>
          <w:rFonts w:eastAsia="方正黑体_GBK"/>
          <w:color w:val="auto"/>
          <w:kern w:val="0"/>
          <w:szCs w:val="32"/>
        </w:rPr>
      </w:pPr>
      <w:r>
        <w:rPr>
          <w:rFonts w:eastAsia="方正黑体_GBK"/>
          <w:color w:val="auto"/>
          <w:kern w:val="0"/>
          <w:szCs w:val="32"/>
        </w:rPr>
        <w:t xml:space="preserve">    三、补偿方式和标准</w:t>
      </w:r>
    </w:p>
    <w:p>
      <w:pPr>
        <w:spacing w:line="578" w:lineRule="exact"/>
        <w:ind w:firstLine="640"/>
        <w:rPr>
          <w:rFonts w:hint="eastAsia" w:eastAsia="方正楷体_GBK"/>
          <w:color w:val="auto"/>
          <w:kern w:val="0"/>
          <w:szCs w:val="32"/>
        </w:rPr>
      </w:pPr>
      <w:r>
        <w:rPr>
          <w:rFonts w:eastAsia="方正楷体_GBK"/>
          <w:color w:val="auto"/>
          <w:kern w:val="0"/>
          <w:szCs w:val="32"/>
        </w:rPr>
        <w:t>（一）土地补偿费和安置补助费</w:t>
      </w:r>
      <w:r>
        <w:rPr>
          <w:rFonts w:hint="eastAsia" w:eastAsia="方正楷体_GBK"/>
          <w:color w:val="auto"/>
          <w:kern w:val="0"/>
          <w:szCs w:val="32"/>
          <w:lang w:eastAsia="zh-CN"/>
        </w:rPr>
        <w:t>。</w:t>
      </w:r>
    </w:p>
    <w:p>
      <w:pPr>
        <w:spacing w:line="578" w:lineRule="exact"/>
        <w:ind w:firstLine="640"/>
        <w:rPr>
          <w:color w:val="auto"/>
          <w:kern w:val="0"/>
          <w:szCs w:val="32"/>
        </w:rPr>
      </w:pPr>
      <w:r>
        <w:rPr>
          <w:color w:val="auto"/>
          <w:kern w:val="0"/>
          <w:szCs w:val="32"/>
        </w:rPr>
        <w:t>征收农用地、建设用地和未利用地的土地补偿费和安置补助费，不分地类，按照市人民政府制定公布的区片综合地价标准乘以被征收土地面积计算。区片综合地价中，土地补偿费占30%，安置补助费占70%。</w:t>
      </w:r>
    </w:p>
    <w:p>
      <w:pPr>
        <w:spacing w:line="578" w:lineRule="exact"/>
        <w:ind w:firstLine="640"/>
        <w:rPr>
          <w:color w:val="auto"/>
          <w:kern w:val="0"/>
          <w:szCs w:val="32"/>
        </w:rPr>
      </w:pPr>
      <w:r>
        <w:rPr>
          <w:rFonts w:hint="eastAsia" w:eastAsia="方正楷体_GBK" w:cs="方正楷体_GBK"/>
          <w:color w:val="auto"/>
          <w:kern w:val="0"/>
          <w:szCs w:val="32"/>
        </w:rPr>
        <w:t>1．</w:t>
      </w:r>
      <w:r>
        <w:rPr>
          <w:rFonts w:hint="eastAsia" w:cs="方正仿宋_GBK"/>
          <w:color w:val="auto"/>
          <w:kern w:val="0"/>
          <w:szCs w:val="32"/>
        </w:rPr>
        <w:t>土地补偿费。</w:t>
      </w:r>
      <w:r>
        <w:rPr>
          <w:color w:val="auto"/>
          <w:kern w:val="0"/>
          <w:szCs w:val="32"/>
        </w:rPr>
        <w:t>土地补偿费由</w:t>
      </w:r>
      <w:r>
        <w:rPr>
          <w:color w:val="auto"/>
          <w:kern w:val="0"/>
          <w:szCs w:val="32"/>
          <w:u w:val="none"/>
        </w:rPr>
        <w:t>县土地整理征收中心</w:t>
      </w:r>
      <w:r>
        <w:rPr>
          <w:color w:val="auto"/>
          <w:kern w:val="0"/>
          <w:szCs w:val="32"/>
        </w:rPr>
        <w:t>支付给被征地农村集体经济组织。其中，征收家庭承包土地的，土地补偿费的80%由农村集体经济组织按照被征收土地面积发放给承包经营户，土地补偿费的20%由农村集体经济组织依法管理和使用</w:t>
      </w:r>
      <w:r>
        <w:rPr>
          <w:rFonts w:hint="eastAsia"/>
          <w:color w:val="auto"/>
          <w:kern w:val="0"/>
          <w:szCs w:val="32"/>
        </w:rPr>
        <w:t>；</w:t>
      </w:r>
      <w:r>
        <w:rPr>
          <w:color w:val="auto"/>
          <w:kern w:val="0"/>
          <w:szCs w:val="32"/>
        </w:rPr>
        <w:t>征收未发包土地或者其他方式承包土地的，土地补偿费由农村集体经济组织依法管理和使用。</w:t>
      </w:r>
    </w:p>
    <w:p>
      <w:pPr>
        <w:spacing w:line="578" w:lineRule="exact"/>
        <w:ind w:firstLine="640"/>
        <w:rPr>
          <w:color w:val="auto"/>
          <w:kern w:val="0"/>
          <w:szCs w:val="32"/>
        </w:rPr>
      </w:pPr>
      <w:r>
        <w:rPr>
          <w:rFonts w:hint="eastAsia" w:eastAsia="方正楷体_GBK" w:cs="方正楷体_GBK"/>
          <w:color w:val="auto"/>
          <w:kern w:val="0"/>
          <w:szCs w:val="32"/>
        </w:rPr>
        <w:t>2．</w:t>
      </w:r>
      <w:r>
        <w:rPr>
          <w:rFonts w:hint="eastAsia" w:cs="方正仿宋_GBK"/>
          <w:color w:val="auto"/>
          <w:kern w:val="0"/>
          <w:szCs w:val="32"/>
        </w:rPr>
        <w:t>安置补助费。安置</w:t>
      </w:r>
      <w:r>
        <w:rPr>
          <w:color w:val="auto"/>
          <w:kern w:val="0"/>
          <w:szCs w:val="32"/>
        </w:rPr>
        <w:t>补助费由</w:t>
      </w:r>
      <w:r>
        <w:rPr>
          <w:color w:val="auto"/>
          <w:kern w:val="0"/>
          <w:szCs w:val="32"/>
          <w:u w:val="none"/>
        </w:rPr>
        <w:t>县土地整理征收中心</w:t>
      </w:r>
      <w:r>
        <w:rPr>
          <w:color w:val="auto"/>
          <w:kern w:val="0"/>
          <w:szCs w:val="32"/>
        </w:rPr>
        <w:t>按照35000元/人的发放标准支付给人员安置对象。安置补助费支付后有结余的，结余部分交由农村集体经济组织依法管理和使用；不足的，由县人民政府安排资金予以补足。</w:t>
      </w:r>
    </w:p>
    <w:p>
      <w:pPr>
        <w:spacing w:line="578" w:lineRule="exact"/>
        <w:ind w:firstLine="640"/>
        <w:rPr>
          <w:rFonts w:eastAsia="方正楷体_GBK"/>
          <w:color w:val="auto"/>
          <w:szCs w:val="32"/>
        </w:rPr>
      </w:pPr>
      <w:r>
        <w:rPr>
          <w:rFonts w:eastAsia="方正楷体_GBK"/>
          <w:color w:val="auto"/>
          <w:szCs w:val="32"/>
        </w:rPr>
        <w:t>（二）农村房屋补偿费</w:t>
      </w:r>
      <w:r>
        <w:rPr>
          <w:rFonts w:hint="eastAsia" w:eastAsia="方正楷体_GBK"/>
          <w:color w:val="auto"/>
          <w:szCs w:val="32"/>
        </w:rPr>
        <w:t>。</w:t>
      </w:r>
    </w:p>
    <w:p>
      <w:pPr>
        <w:spacing w:line="578" w:lineRule="exact"/>
        <w:ind w:firstLine="640"/>
        <w:rPr>
          <w:rFonts w:hint="eastAsia"/>
          <w:color w:val="auto"/>
          <w:kern w:val="0"/>
          <w:szCs w:val="32"/>
          <w:u w:val="none"/>
        </w:rPr>
      </w:pPr>
      <w:r>
        <w:rPr>
          <w:rFonts w:hint="eastAsia"/>
          <w:color w:val="auto"/>
          <w:kern w:val="0"/>
          <w:szCs w:val="32"/>
          <w:u w:val="none"/>
        </w:rPr>
        <w:t>住房安置对象范围及具体确定办法，按照《重庆市集体土地征收补偿安置办法》（重庆市人民政府令第344号）第十三条、第十四条、第十九条、第二十条规定以及《巫溪县人民政府关于印发巫溪县集体土地征收补偿安置实施办法的通知》（巫溪府发〔2021〕13号）第十三条、第十四条、第十九条、第二十条规定执行。</w:t>
      </w:r>
    </w:p>
    <w:p>
      <w:pPr>
        <w:spacing w:line="578" w:lineRule="exact"/>
        <w:ind w:firstLine="640"/>
        <w:rPr>
          <w:rFonts w:hint="eastAsia"/>
          <w:color w:val="auto"/>
          <w:kern w:val="0"/>
          <w:szCs w:val="32"/>
          <w:u w:val="none"/>
        </w:rPr>
      </w:pPr>
      <w:r>
        <w:rPr>
          <w:rFonts w:hint="eastAsia"/>
          <w:color w:val="auto"/>
          <w:kern w:val="0"/>
          <w:szCs w:val="32"/>
          <w:u w:val="none"/>
        </w:rPr>
        <w:t>住房安置采取农村宅基地自建安置或者货币安置两种方式进行安置。住房安置对象以户为单位统一选择一种安置方式，一处宅基地上的住房记为一户，以不动产首次登记或者合法建房手续批准的房屋作为计户依据。</w:t>
      </w:r>
    </w:p>
    <w:p>
      <w:pPr>
        <w:spacing w:line="578" w:lineRule="exact"/>
        <w:ind w:firstLine="640"/>
        <w:rPr>
          <w:rFonts w:hint="eastAsia"/>
          <w:color w:val="auto"/>
          <w:kern w:val="0"/>
          <w:szCs w:val="32"/>
          <w:u w:val="none"/>
        </w:rPr>
      </w:pPr>
      <w:r>
        <w:rPr>
          <w:rFonts w:hint="eastAsia"/>
          <w:color w:val="auto"/>
          <w:kern w:val="0"/>
          <w:szCs w:val="32"/>
          <w:u w:val="none"/>
        </w:rPr>
        <w:t>住房安置对象采取货币安置后，该户家庭成员不得再申请农村宅基地新建住房。</w:t>
      </w:r>
    </w:p>
    <w:p>
      <w:pPr>
        <w:spacing w:line="578" w:lineRule="exact"/>
        <w:ind w:firstLine="640"/>
        <w:rPr>
          <w:rFonts w:hint="eastAsia"/>
          <w:color w:val="auto"/>
          <w:kern w:val="0"/>
          <w:szCs w:val="32"/>
          <w:u w:val="none"/>
        </w:rPr>
      </w:pPr>
      <w:r>
        <w:rPr>
          <w:rFonts w:hint="eastAsia"/>
          <w:color w:val="auto"/>
          <w:kern w:val="0"/>
          <w:szCs w:val="32"/>
          <w:u w:val="none"/>
        </w:rPr>
        <w:t>住房安置对象合法拥有两处以上（含两处）农村住房的，只在其拥有宅基地权利的住房被搬迁时安置一次住房，不得重复安置住房。</w:t>
      </w:r>
    </w:p>
    <w:p>
      <w:pPr>
        <w:numPr>
          <w:ilvl w:val="0"/>
          <w:numId w:val="1"/>
        </w:numPr>
        <w:spacing w:line="578" w:lineRule="exact"/>
        <w:ind w:firstLine="640"/>
        <w:rPr>
          <w:rFonts w:hint="eastAsia"/>
          <w:color w:val="auto"/>
          <w:kern w:val="0"/>
          <w:szCs w:val="32"/>
          <w:u w:val="none"/>
        </w:rPr>
      </w:pPr>
      <w:r>
        <w:rPr>
          <w:rFonts w:hint="eastAsia"/>
          <w:color w:val="auto"/>
          <w:kern w:val="0"/>
          <w:szCs w:val="32"/>
          <w:u w:val="none"/>
        </w:rPr>
        <w:t>农村宅基地自建安置。住房安置对象选择农村宅基地自建安置的，应当符合乡（镇）土地利用总体规划、村庄规划，以及国家和本市关于宅基地建房的有关规定。农村村民宅基地标准为每人30平方米，3人以下户按3人计算，4人户按4人计算，5人以上户按5人计算。自建住房按照所拆迁房屋重置价格标准的50%给予自建住房补助。</w:t>
      </w:r>
    </w:p>
    <w:p>
      <w:pPr>
        <w:numPr>
          <w:ilvl w:val="0"/>
          <w:numId w:val="1"/>
        </w:numPr>
        <w:spacing w:line="578" w:lineRule="exact"/>
        <w:ind w:firstLine="640"/>
        <w:rPr>
          <w:rFonts w:hint="eastAsia"/>
          <w:color w:val="auto"/>
          <w:kern w:val="0"/>
          <w:szCs w:val="32"/>
          <w:u w:val="none"/>
        </w:rPr>
      </w:pPr>
      <w:r>
        <w:rPr>
          <w:rFonts w:hint="eastAsia"/>
          <w:color w:val="auto"/>
          <w:kern w:val="0"/>
          <w:szCs w:val="32"/>
          <w:u w:val="none"/>
        </w:rPr>
        <w:t>货币安置。住房安置对象选择货币安置的，住房安置建筑面积标准为每人30平方米；符合《巫溪县人民政府关于印发巫溪县集体土地征收补偿安置实施办法的通知》（巫溪府发〔2021〕13号）第二十四条规定的，按相应建筑面积标准予以安置。</w:t>
      </w:r>
    </w:p>
    <w:p>
      <w:pPr>
        <w:spacing w:line="578" w:lineRule="exact"/>
        <w:ind w:firstLine="640"/>
        <w:rPr>
          <w:rFonts w:hint="eastAsia"/>
          <w:color w:val="auto"/>
          <w:kern w:val="0"/>
          <w:szCs w:val="32"/>
          <w:u w:val="none"/>
        </w:rPr>
      </w:pPr>
      <w:r>
        <w:rPr>
          <w:rFonts w:hint="eastAsia"/>
          <w:color w:val="auto"/>
          <w:kern w:val="0"/>
          <w:szCs w:val="32"/>
          <w:u w:val="none"/>
        </w:rPr>
        <w:t>货币安置款额等于住房货币安置价格标准乘以应安置建筑面积。住房货币安置价格标准按照征地范围周边普通商品住房平均价格与砖混结构房屋重置价格标准之差确定。征地范围周边普通商品住平均价格见</w:t>
      </w:r>
      <w:r>
        <w:rPr>
          <w:rFonts w:hint="eastAsia"/>
          <w:color w:val="auto"/>
          <w:kern w:val="0"/>
          <w:szCs w:val="32"/>
          <w:u w:val="none"/>
          <w:lang w:eastAsia="zh-CN"/>
        </w:rPr>
        <w:t>附件之</w:t>
      </w:r>
      <w:r>
        <w:rPr>
          <w:rFonts w:hint="eastAsia"/>
          <w:color w:val="auto"/>
          <w:kern w:val="0"/>
          <w:szCs w:val="32"/>
          <w:u w:val="none"/>
        </w:rPr>
        <w:t>附件5。</w:t>
      </w:r>
    </w:p>
    <w:p>
      <w:pPr>
        <w:numPr>
          <w:ilvl w:val="0"/>
          <w:numId w:val="1"/>
        </w:numPr>
        <w:spacing w:line="578" w:lineRule="exact"/>
        <w:ind w:firstLine="640"/>
        <w:rPr>
          <w:rFonts w:hint="eastAsia"/>
          <w:color w:val="auto"/>
          <w:kern w:val="0"/>
          <w:szCs w:val="32"/>
          <w:u w:val="none"/>
        </w:rPr>
      </w:pPr>
      <w:r>
        <w:rPr>
          <w:rFonts w:hint="eastAsia"/>
          <w:color w:val="auto"/>
          <w:kern w:val="0"/>
          <w:szCs w:val="32"/>
          <w:u w:val="none"/>
        </w:rPr>
        <w:t>搬迁和临时安置。征地搬迁农村住房，以户为单位支付搬迁费，标准为3人以下（含3人）每户2000元，3人以上的户每人600元，按两次计发。</w:t>
      </w:r>
    </w:p>
    <w:p>
      <w:pPr>
        <w:spacing w:line="578" w:lineRule="exact"/>
        <w:ind w:firstLine="640"/>
        <w:rPr>
          <w:rFonts w:hint="eastAsia"/>
          <w:color w:val="auto"/>
          <w:kern w:val="0"/>
          <w:szCs w:val="32"/>
          <w:u w:val="none"/>
        </w:rPr>
      </w:pPr>
      <w:r>
        <w:rPr>
          <w:rFonts w:hint="eastAsia"/>
          <w:color w:val="auto"/>
          <w:kern w:val="0"/>
          <w:szCs w:val="32"/>
          <w:u w:val="none"/>
        </w:rPr>
        <w:t>农村宅基地自建安置的，按照符合宅基地申请条件的人员计算并一次性支付18个月的临时安置费，标准为每人每月300元（3人以下按3人计算）。</w:t>
      </w:r>
    </w:p>
    <w:p>
      <w:pPr>
        <w:spacing w:line="578" w:lineRule="exact"/>
        <w:ind w:firstLine="640"/>
        <w:rPr>
          <w:color w:val="auto"/>
          <w:szCs w:val="32"/>
        </w:rPr>
      </w:pPr>
      <w:r>
        <w:rPr>
          <w:rFonts w:hint="eastAsia"/>
          <w:color w:val="auto"/>
          <w:kern w:val="0"/>
          <w:szCs w:val="32"/>
          <w:u w:val="none"/>
        </w:rPr>
        <w:t>住房货币安置的，按照应安置建筑面积计算并一次性支付12个月的临时安置费，标准为每平方米每月15元（90平方米以下按90平方米计算）</w:t>
      </w:r>
      <w:r>
        <w:rPr>
          <w:color w:val="auto"/>
          <w:kern w:val="0"/>
          <w:szCs w:val="32"/>
          <w:u w:val="none"/>
        </w:rPr>
        <w:t>。</w:t>
      </w:r>
    </w:p>
    <w:p>
      <w:pPr>
        <w:spacing w:line="578" w:lineRule="exact"/>
        <w:ind w:firstLine="640"/>
        <w:rPr>
          <w:rFonts w:eastAsia="方正楷体_GBK"/>
          <w:color w:val="auto"/>
          <w:szCs w:val="32"/>
        </w:rPr>
      </w:pPr>
      <w:r>
        <w:rPr>
          <w:rFonts w:eastAsia="方正楷体_GBK"/>
          <w:color w:val="auto"/>
          <w:szCs w:val="32"/>
        </w:rPr>
        <w:t>（三）其他地上附着物和青苗补偿费</w:t>
      </w:r>
      <w:r>
        <w:rPr>
          <w:rFonts w:hint="eastAsia" w:eastAsia="方正楷体_GBK"/>
          <w:color w:val="auto"/>
          <w:szCs w:val="32"/>
        </w:rPr>
        <w:t>。</w:t>
      </w:r>
    </w:p>
    <w:p>
      <w:pPr>
        <w:spacing w:line="578" w:lineRule="exact"/>
        <w:ind w:firstLine="640"/>
        <w:rPr>
          <w:color w:val="auto"/>
          <w:szCs w:val="32"/>
        </w:rPr>
      </w:pPr>
      <w:r>
        <w:rPr>
          <w:color w:val="auto"/>
          <w:szCs w:val="32"/>
        </w:rPr>
        <w:t>其他地上附着物和青苗实行综合定额补偿，以被征收土地面积扣除房屋和林地后的面积为准，每亩定额补偿8000元。</w:t>
      </w:r>
    </w:p>
    <w:p>
      <w:pPr>
        <w:spacing w:line="578" w:lineRule="exact"/>
        <w:ind w:firstLine="640"/>
        <w:rPr>
          <w:color w:val="auto"/>
          <w:szCs w:val="32"/>
        </w:rPr>
      </w:pPr>
      <w:r>
        <w:rPr>
          <w:color w:val="auto"/>
          <w:szCs w:val="32"/>
        </w:rPr>
        <w:t>征收林地的林木及附着物的补偿标准，按照国家和重庆市征收林地的有关规定执行，补偿标准低于每亩8000元的，按每亩8000元补偿。</w:t>
      </w:r>
    </w:p>
    <w:p>
      <w:pPr>
        <w:spacing w:line="578" w:lineRule="exact"/>
        <w:ind w:firstLine="640"/>
        <w:rPr>
          <w:color w:val="auto"/>
          <w:szCs w:val="32"/>
        </w:rPr>
      </w:pPr>
      <w:r>
        <w:rPr>
          <w:color w:val="auto"/>
        </w:rPr>
        <w:t>坟墓实行据实清点补偿，</w:t>
      </w:r>
      <w:r>
        <w:rPr>
          <w:color w:val="auto"/>
          <w:szCs w:val="32"/>
        </w:rPr>
        <w:t>按照《巫溪县集体土地征收补偿安置实施办法》（巫溪府发〔2021〕13号）规定执行。</w:t>
      </w:r>
    </w:p>
    <w:p>
      <w:pPr>
        <w:spacing w:line="578" w:lineRule="exact"/>
        <w:ind w:firstLine="640"/>
        <w:rPr>
          <w:color w:val="auto"/>
          <w:kern w:val="0"/>
          <w:szCs w:val="32"/>
        </w:rPr>
      </w:pPr>
      <w:r>
        <w:rPr>
          <w:rFonts w:eastAsia="方正黑体_GBK"/>
          <w:color w:val="auto"/>
          <w:kern w:val="0"/>
          <w:szCs w:val="32"/>
        </w:rPr>
        <w:t>四、安置对象及安置方式</w:t>
      </w:r>
    </w:p>
    <w:p>
      <w:pPr>
        <w:spacing w:line="578" w:lineRule="exact"/>
        <w:ind w:firstLine="640"/>
        <w:rPr>
          <w:rFonts w:eastAsia="方正楷体_GBK"/>
          <w:color w:val="auto"/>
          <w:kern w:val="0"/>
          <w:szCs w:val="32"/>
        </w:rPr>
      </w:pPr>
      <w:r>
        <w:rPr>
          <w:rFonts w:eastAsia="方正楷体_GBK"/>
          <w:color w:val="auto"/>
          <w:kern w:val="0"/>
          <w:szCs w:val="32"/>
        </w:rPr>
        <w:t>（一）人员安置</w:t>
      </w:r>
      <w:r>
        <w:rPr>
          <w:rFonts w:hint="eastAsia" w:eastAsia="方正楷体_GBK"/>
          <w:color w:val="auto"/>
          <w:kern w:val="0"/>
          <w:szCs w:val="32"/>
        </w:rPr>
        <w:t>。</w:t>
      </w:r>
    </w:p>
    <w:p>
      <w:pPr>
        <w:spacing w:line="578" w:lineRule="exact"/>
        <w:ind w:firstLine="640"/>
        <w:rPr>
          <w:color w:val="auto"/>
          <w:kern w:val="0"/>
          <w:szCs w:val="32"/>
        </w:rPr>
      </w:pPr>
      <w:r>
        <w:rPr>
          <w:color w:val="auto"/>
          <w:kern w:val="0"/>
          <w:szCs w:val="32"/>
        </w:rPr>
        <w:t>人员安置对象范围及具体确定办法，按照《巫溪县集体土地征收补偿安置实施办法》（巫溪府发〔2021〕13号）第十三条、第十四条、第十五条、第十六条规定执行。本次征地人员安置对象</w:t>
      </w:r>
      <w:r>
        <w:rPr>
          <w:rFonts w:hint="eastAsia"/>
          <w:color w:val="auto"/>
          <w:kern w:val="0"/>
          <w:szCs w:val="32"/>
        </w:rPr>
        <w:t>共</w:t>
      </w:r>
      <w:r>
        <w:rPr>
          <w:rFonts w:hint="eastAsia"/>
          <w:color w:val="auto"/>
          <w:kern w:val="0"/>
          <w:szCs w:val="32"/>
          <w:lang w:val="en-US" w:eastAsia="zh-CN"/>
        </w:rPr>
        <w:t>2</w:t>
      </w:r>
      <w:r>
        <w:rPr>
          <w:rFonts w:hint="eastAsia"/>
          <w:color w:val="auto"/>
          <w:kern w:val="0"/>
          <w:szCs w:val="32"/>
        </w:rPr>
        <w:t>人，其中：</w:t>
      </w:r>
      <w:r>
        <w:rPr>
          <w:rFonts w:hint="eastAsia"/>
          <w:color w:val="auto"/>
          <w:kern w:val="0"/>
          <w:szCs w:val="32"/>
          <w:lang w:eastAsia="zh-CN"/>
        </w:rPr>
        <w:t>白鹅社区1组</w:t>
      </w:r>
      <w:r>
        <w:rPr>
          <w:rFonts w:hint="eastAsia"/>
          <w:color w:val="auto"/>
          <w:kern w:val="0"/>
          <w:szCs w:val="32"/>
          <w:lang w:val="en-US" w:eastAsia="zh-CN"/>
        </w:rPr>
        <w:t>1人，九磷社区1人。</w:t>
      </w:r>
      <w:r>
        <w:rPr>
          <w:color w:val="auto"/>
          <w:kern w:val="0"/>
          <w:szCs w:val="32"/>
        </w:rPr>
        <w:t>由</w:t>
      </w:r>
      <w:r>
        <w:rPr>
          <w:color w:val="auto"/>
          <w:kern w:val="0"/>
          <w:szCs w:val="32"/>
          <w:u w:val="none"/>
        </w:rPr>
        <w:t>县土地整理征收中心</w:t>
      </w:r>
      <w:r>
        <w:rPr>
          <w:color w:val="auto"/>
          <w:kern w:val="0"/>
          <w:szCs w:val="32"/>
        </w:rPr>
        <w:t>采取发放安置补助费的方式进行安置，每个人员安置对象的安置补助费发放标准为35000元。</w:t>
      </w:r>
    </w:p>
    <w:p>
      <w:pPr>
        <w:spacing w:line="578" w:lineRule="exact"/>
        <w:ind w:firstLine="640"/>
        <w:rPr>
          <w:rFonts w:eastAsia="方正楷体_GBK"/>
          <w:color w:val="auto"/>
          <w:kern w:val="0"/>
          <w:szCs w:val="32"/>
        </w:rPr>
      </w:pPr>
      <w:r>
        <w:rPr>
          <w:rFonts w:eastAsia="方正楷体_GBK"/>
          <w:color w:val="auto"/>
          <w:kern w:val="0"/>
          <w:szCs w:val="32"/>
        </w:rPr>
        <w:t>（二）住房安置</w:t>
      </w:r>
      <w:r>
        <w:rPr>
          <w:rFonts w:hint="eastAsia" w:eastAsia="方正楷体_GBK"/>
          <w:color w:val="auto"/>
          <w:kern w:val="0"/>
          <w:szCs w:val="32"/>
        </w:rPr>
        <w:t>。</w:t>
      </w:r>
    </w:p>
    <w:p>
      <w:pPr>
        <w:spacing w:line="578" w:lineRule="exact"/>
        <w:ind w:firstLine="640"/>
        <w:rPr>
          <w:color w:val="auto"/>
          <w:kern w:val="0"/>
          <w:szCs w:val="32"/>
        </w:rPr>
      </w:pPr>
      <w:r>
        <w:rPr>
          <w:rFonts w:hint="eastAsia"/>
          <w:color w:val="auto"/>
          <w:kern w:val="0"/>
          <w:szCs w:val="32"/>
        </w:rPr>
        <w:t>本项目征地范围无住房拆迁，不涉及住房安置。</w:t>
      </w:r>
    </w:p>
    <w:p>
      <w:pPr>
        <w:spacing w:line="578" w:lineRule="exact"/>
        <w:rPr>
          <w:rFonts w:eastAsia="方正黑体_GBK"/>
          <w:color w:val="auto"/>
          <w:kern w:val="0"/>
          <w:szCs w:val="32"/>
        </w:rPr>
      </w:pPr>
      <w:r>
        <w:rPr>
          <w:rFonts w:eastAsia="方正黑体_GBK"/>
          <w:color w:val="auto"/>
          <w:kern w:val="0"/>
          <w:szCs w:val="32"/>
        </w:rPr>
        <w:t xml:space="preserve">    五、社会保障</w:t>
      </w:r>
    </w:p>
    <w:p>
      <w:pPr>
        <w:overflowPunct w:val="0"/>
        <w:spacing w:line="578" w:lineRule="exact"/>
        <w:ind w:firstLine="632" w:firstLineChars="200"/>
        <w:rPr>
          <w:color w:val="auto"/>
          <w:szCs w:val="32"/>
        </w:rPr>
      </w:pPr>
      <w:r>
        <w:rPr>
          <w:color w:val="auto"/>
          <w:szCs w:val="32"/>
        </w:rPr>
        <w:t>对符合条件的征地人员安置对象参加基本养老保险实施缴费补贴。具体如下：</w:t>
      </w:r>
    </w:p>
    <w:p>
      <w:pPr>
        <w:overflowPunct w:val="0"/>
        <w:spacing w:line="578" w:lineRule="exact"/>
        <w:ind w:firstLine="632" w:firstLineChars="200"/>
        <w:rPr>
          <w:color w:val="auto"/>
          <w:szCs w:val="32"/>
        </w:rPr>
      </w:pPr>
      <w:r>
        <w:rPr>
          <w:rFonts w:eastAsia="方正楷体_GBK"/>
          <w:color w:val="auto"/>
          <w:szCs w:val="32"/>
        </w:rPr>
        <w:t>（一）补贴对象</w:t>
      </w:r>
      <w:r>
        <w:rPr>
          <w:color w:val="auto"/>
          <w:szCs w:val="32"/>
        </w:rPr>
        <w:t>。征地人员安置对象中，在征收土地公告当月年满16周岁及以上的人员。</w:t>
      </w:r>
    </w:p>
    <w:p>
      <w:pPr>
        <w:overflowPunct w:val="0"/>
        <w:spacing w:line="578" w:lineRule="exact"/>
        <w:ind w:firstLine="632" w:firstLineChars="200"/>
        <w:rPr>
          <w:color w:val="auto"/>
          <w:szCs w:val="32"/>
        </w:rPr>
      </w:pPr>
      <w:r>
        <w:rPr>
          <w:color w:val="auto"/>
          <w:szCs w:val="32"/>
        </w:rPr>
        <w:t>以下人员不属于补贴对象：1.</w:t>
      </w:r>
      <w:r>
        <w:rPr>
          <w:rFonts w:hint="eastAsia" w:ascii="Times New Roman" w:hAnsi="Times New Roman"/>
          <w:color w:val="auto"/>
          <w:szCs w:val="32"/>
          <w:lang w:val="en-US" w:eastAsia="zh-CN"/>
        </w:rPr>
        <w:t xml:space="preserve"> </w:t>
      </w:r>
      <w:r>
        <w:rPr>
          <w:color w:val="auto"/>
          <w:szCs w:val="32"/>
        </w:rPr>
        <w:t>按照或参照渝府发〔2008〕26号文件规定，已参加被征地农转非人员（被征地安置人员）基本养老保险的征地人员安置对象；2.</w:t>
      </w:r>
      <w:r>
        <w:rPr>
          <w:rFonts w:hint="eastAsia" w:ascii="Times New Roman" w:hAnsi="Times New Roman"/>
          <w:color w:val="auto"/>
          <w:szCs w:val="32"/>
          <w:lang w:val="en-US" w:eastAsia="zh-CN"/>
        </w:rPr>
        <w:t xml:space="preserve"> </w:t>
      </w:r>
      <w:r>
        <w:rPr>
          <w:color w:val="auto"/>
          <w:szCs w:val="32"/>
        </w:rPr>
        <w:t>在征收土地公告当月前已死亡，或已出国定居且终止基本养老保险关系的征地人员安置对象。</w:t>
      </w:r>
    </w:p>
    <w:p>
      <w:pPr>
        <w:overflowPunct w:val="0"/>
        <w:spacing w:line="578" w:lineRule="exact"/>
        <w:ind w:firstLine="632" w:firstLineChars="200"/>
        <w:rPr>
          <w:color w:val="auto"/>
          <w:szCs w:val="32"/>
        </w:rPr>
      </w:pPr>
      <w:r>
        <w:rPr>
          <w:rFonts w:eastAsia="方正楷体_GBK"/>
          <w:color w:val="auto"/>
          <w:szCs w:val="32"/>
        </w:rPr>
        <w:t>（二）补贴年限。</w:t>
      </w:r>
      <w:r>
        <w:rPr>
          <w:color w:val="auto"/>
          <w:szCs w:val="32"/>
        </w:rPr>
        <w:t>根据补贴对象在征收土地公告当月的年龄确定补贴年限，最低2年，最高15年。具体补贴年限如下：</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0"/>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noWrap w:val="0"/>
            <w:vAlign w:val="top"/>
          </w:tcPr>
          <w:p>
            <w:pPr>
              <w:overflowPunct w:val="0"/>
              <w:jc w:val="center"/>
              <w:rPr>
                <w:rFonts w:hint="eastAsia" w:eastAsia="方正黑体_GBK"/>
                <w:bCs/>
                <w:color w:val="auto"/>
                <w:sz w:val="28"/>
                <w:szCs w:val="28"/>
              </w:rPr>
            </w:pPr>
            <w:r>
              <w:rPr>
                <w:rFonts w:hint="eastAsia" w:eastAsia="方正黑体_GBK"/>
                <w:bCs/>
                <w:color w:val="auto"/>
                <w:sz w:val="28"/>
                <w:szCs w:val="28"/>
              </w:rPr>
              <w:t>年龄</w:t>
            </w:r>
          </w:p>
        </w:tc>
        <w:tc>
          <w:tcPr>
            <w:tcW w:w="2394" w:type="dxa"/>
            <w:noWrap w:val="0"/>
            <w:vAlign w:val="top"/>
          </w:tcPr>
          <w:p>
            <w:pPr>
              <w:overflowPunct w:val="0"/>
              <w:jc w:val="center"/>
              <w:rPr>
                <w:rFonts w:hint="eastAsia" w:eastAsia="方正黑体_GBK"/>
                <w:bCs/>
                <w:color w:val="auto"/>
                <w:sz w:val="28"/>
                <w:szCs w:val="28"/>
              </w:rPr>
            </w:pPr>
            <w:r>
              <w:rPr>
                <w:rFonts w:hint="eastAsia" w:eastAsia="方正黑体_GBK"/>
                <w:bCs/>
                <w:color w:val="auto"/>
                <w:sz w:val="28"/>
                <w:szCs w:val="28"/>
              </w:rPr>
              <w:t>补贴年限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noWrap w:val="0"/>
            <w:vAlign w:val="top"/>
          </w:tcPr>
          <w:p>
            <w:pPr>
              <w:overflowPunct w:val="0"/>
              <w:rPr>
                <w:color w:val="auto"/>
                <w:sz w:val="28"/>
                <w:szCs w:val="28"/>
              </w:rPr>
            </w:pPr>
            <w:r>
              <w:rPr>
                <w:color w:val="auto"/>
                <w:sz w:val="28"/>
                <w:szCs w:val="28"/>
              </w:rPr>
              <w:t>男性：年满50周岁及以上</w:t>
            </w:r>
          </w:p>
          <w:p>
            <w:pPr>
              <w:overflowPunct w:val="0"/>
              <w:rPr>
                <w:color w:val="auto"/>
                <w:sz w:val="28"/>
                <w:szCs w:val="28"/>
              </w:rPr>
            </w:pPr>
            <w:r>
              <w:rPr>
                <w:color w:val="auto"/>
                <w:sz w:val="28"/>
                <w:szCs w:val="28"/>
              </w:rPr>
              <w:t>女性：年满40周岁及以上</w:t>
            </w:r>
          </w:p>
        </w:tc>
        <w:tc>
          <w:tcPr>
            <w:tcW w:w="2394" w:type="dxa"/>
            <w:noWrap w:val="0"/>
            <w:vAlign w:val="center"/>
          </w:tcPr>
          <w:p>
            <w:pPr>
              <w:overflowPunct w:val="0"/>
              <w:jc w:val="center"/>
              <w:rPr>
                <w:color w:val="auto"/>
                <w:sz w:val="28"/>
                <w:szCs w:val="28"/>
              </w:rPr>
            </w:pPr>
            <w:r>
              <w:rPr>
                <w:color w:val="auto"/>
                <w:sz w:val="28"/>
                <w:szCs w:val="28"/>
              </w:rPr>
              <w:t>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noWrap w:val="0"/>
            <w:vAlign w:val="top"/>
          </w:tcPr>
          <w:p>
            <w:pPr>
              <w:overflowPunct w:val="0"/>
              <w:rPr>
                <w:color w:val="auto"/>
                <w:sz w:val="28"/>
                <w:szCs w:val="28"/>
              </w:rPr>
            </w:pPr>
            <w:r>
              <w:rPr>
                <w:color w:val="auto"/>
                <w:sz w:val="28"/>
                <w:szCs w:val="28"/>
              </w:rPr>
              <w:t>男性：年满40周岁不满50周岁</w:t>
            </w:r>
          </w:p>
        </w:tc>
        <w:tc>
          <w:tcPr>
            <w:tcW w:w="2394" w:type="dxa"/>
            <w:noWrap w:val="0"/>
            <w:vAlign w:val="center"/>
          </w:tcPr>
          <w:p>
            <w:pPr>
              <w:overflowPunct w:val="0"/>
              <w:jc w:val="center"/>
              <w:rPr>
                <w:color w:val="auto"/>
                <w:sz w:val="28"/>
                <w:szCs w:val="28"/>
              </w:rPr>
            </w:pPr>
            <w:r>
              <w:rPr>
                <w:color w:val="auto"/>
                <w:sz w:val="28"/>
                <w:szCs w:val="28"/>
              </w:rPr>
              <w:t>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noWrap w:val="0"/>
            <w:vAlign w:val="top"/>
          </w:tcPr>
          <w:p>
            <w:pPr>
              <w:overflowPunct w:val="0"/>
              <w:rPr>
                <w:color w:val="auto"/>
                <w:sz w:val="28"/>
                <w:szCs w:val="28"/>
              </w:rPr>
            </w:pPr>
            <w:r>
              <w:rPr>
                <w:color w:val="auto"/>
                <w:sz w:val="28"/>
                <w:szCs w:val="28"/>
              </w:rPr>
              <w:t>年满38周岁不满40周岁</w:t>
            </w:r>
          </w:p>
        </w:tc>
        <w:tc>
          <w:tcPr>
            <w:tcW w:w="2394" w:type="dxa"/>
            <w:noWrap w:val="0"/>
            <w:vAlign w:val="center"/>
          </w:tcPr>
          <w:p>
            <w:pPr>
              <w:overflowPunct w:val="0"/>
              <w:jc w:val="center"/>
              <w:rPr>
                <w:color w:val="auto"/>
                <w:sz w:val="28"/>
                <w:szCs w:val="28"/>
              </w:rPr>
            </w:pPr>
            <w:r>
              <w:rPr>
                <w:color w:val="auto"/>
                <w:sz w:val="28"/>
                <w:szCs w:val="28"/>
              </w:rPr>
              <w:t>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noWrap w:val="0"/>
            <w:vAlign w:val="top"/>
          </w:tcPr>
          <w:p>
            <w:pPr>
              <w:overflowPunct w:val="0"/>
              <w:rPr>
                <w:color w:val="auto"/>
                <w:sz w:val="28"/>
                <w:szCs w:val="28"/>
              </w:rPr>
            </w:pPr>
            <w:r>
              <w:rPr>
                <w:color w:val="auto"/>
                <w:sz w:val="28"/>
                <w:szCs w:val="28"/>
              </w:rPr>
              <w:t>年满36周岁不满38周岁</w:t>
            </w:r>
          </w:p>
        </w:tc>
        <w:tc>
          <w:tcPr>
            <w:tcW w:w="2394" w:type="dxa"/>
            <w:noWrap w:val="0"/>
            <w:vAlign w:val="center"/>
          </w:tcPr>
          <w:p>
            <w:pPr>
              <w:overflowPunct w:val="0"/>
              <w:jc w:val="center"/>
              <w:rPr>
                <w:color w:val="auto"/>
                <w:sz w:val="28"/>
                <w:szCs w:val="28"/>
              </w:rPr>
            </w:pPr>
            <w:r>
              <w:rPr>
                <w:color w:val="auto"/>
                <w:sz w:val="28"/>
                <w:szCs w:val="28"/>
              </w:rPr>
              <w:t>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noWrap w:val="0"/>
            <w:vAlign w:val="top"/>
          </w:tcPr>
          <w:p>
            <w:pPr>
              <w:overflowPunct w:val="0"/>
              <w:rPr>
                <w:color w:val="auto"/>
                <w:sz w:val="28"/>
                <w:szCs w:val="28"/>
              </w:rPr>
            </w:pPr>
            <w:r>
              <w:rPr>
                <w:color w:val="auto"/>
                <w:sz w:val="28"/>
                <w:szCs w:val="28"/>
              </w:rPr>
              <w:t>年满34周岁不满36周岁</w:t>
            </w:r>
          </w:p>
        </w:tc>
        <w:tc>
          <w:tcPr>
            <w:tcW w:w="2394" w:type="dxa"/>
            <w:noWrap w:val="0"/>
            <w:vAlign w:val="center"/>
          </w:tcPr>
          <w:p>
            <w:pPr>
              <w:overflowPunct w:val="0"/>
              <w:jc w:val="center"/>
              <w:rPr>
                <w:color w:val="auto"/>
                <w:sz w:val="28"/>
                <w:szCs w:val="28"/>
              </w:rPr>
            </w:pPr>
            <w:r>
              <w:rPr>
                <w:color w:val="auto"/>
                <w:sz w:val="28"/>
                <w:szCs w:val="28"/>
              </w:rPr>
              <w:t>11年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noWrap w:val="0"/>
            <w:vAlign w:val="top"/>
          </w:tcPr>
          <w:p>
            <w:pPr>
              <w:overflowPunct w:val="0"/>
              <w:rPr>
                <w:color w:val="auto"/>
                <w:sz w:val="28"/>
                <w:szCs w:val="28"/>
              </w:rPr>
            </w:pPr>
            <w:r>
              <w:rPr>
                <w:color w:val="auto"/>
                <w:sz w:val="28"/>
                <w:szCs w:val="28"/>
              </w:rPr>
              <w:t>年满32周岁不满34周岁</w:t>
            </w:r>
          </w:p>
        </w:tc>
        <w:tc>
          <w:tcPr>
            <w:tcW w:w="2394" w:type="dxa"/>
            <w:noWrap w:val="0"/>
            <w:vAlign w:val="center"/>
          </w:tcPr>
          <w:p>
            <w:pPr>
              <w:overflowPunct w:val="0"/>
              <w:jc w:val="center"/>
              <w:rPr>
                <w:color w:val="auto"/>
                <w:sz w:val="28"/>
                <w:szCs w:val="28"/>
              </w:rPr>
            </w:pPr>
            <w:r>
              <w:rPr>
                <w:color w:val="auto"/>
                <w:sz w:val="28"/>
                <w:szCs w:val="28"/>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noWrap w:val="0"/>
            <w:vAlign w:val="top"/>
          </w:tcPr>
          <w:p>
            <w:pPr>
              <w:overflowPunct w:val="0"/>
              <w:rPr>
                <w:color w:val="auto"/>
                <w:sz w:val="28"/>
                <w:szCs w:val="28"/>
              </w:rPr>
            </w:pPr>
            <w:r>
              <w:rPr>
                <w:color w:val="auto"/>
                <w:sz w:val="28"/>
                <w:szCs w:val="28"/>
              </w:rPr>
              <w:t>年满30周岁不满32周岁</w:t>
            </w:r>
          </w:p>
        </w:tc>
        <w:tc>
          <w:tcPr>
            <w:tcW w:w="2394" w:type="dxa"/>
            <w:noWrap w:val="0"/>
            <w:vAlign w:val="center"/>
          </w:tcPr>
          <w:p>
            <w:pPr>
              <w:overflowPunct w:val="0"/>
              <w:jc w:val="center"/>
              <w:rPr>
                <w:color w:val="auto"/>
                <w:sz w:val="28"/>
                <w:szCs w:val="28"/>
              </w:rPr>
            </w:pPr>
            <w:r>
              <w:rPr>
                <w:color w:val="auto"/>
                <w:sz w:val="28"/>
                <w:szCs w:val="28"/>
              </w:rPr>
              <w:t>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noWrap w:val="0"/>
            <w:vAlign w:val="top"/>
          </w:tcPr>
          <w:p>
            <w:pPr>
              <w:overflowPunct w:val="0"/>
              <w:rPr>
                <w:color w:val="auto"/>
                <w:sz w:val="28"/>
                <w:szCs w:val="28"/>
              </w:rPr>
            </w:pPr>
            <w:r>
              <w:rPr>
                <w:color w:val="auto"/>
                <w:sz w:val="28"/>
                <w:szCs w:val="28"/>
              </w:rPr>
              <w:t>年满28周岁不满30周岁</w:t>
            </w:r>
          </w:p>
        </w:tc>
        <w:tc>
          <w:tcPr>
            <w:tcW w:w="2394" w:type="dxa"/>
            <w:noWrap w:val="0"/>
            <w:vAlign w:val="center"/>
          </w:tcPr>
          <w:p>
            <w:pPr>
              <w:overflowPunct w:val="0"/>
              <w:jc w:val="center"/>
              <w:rPr>
                <w:color w:val="auto"/>
                <w:sz w:val="28"/>
                <w:szCs w:val="28"/>
              </w:rPr>
            </w:pPr>
            <w:r>
              <w:rPr>
                <w:color w:val="auto"/>
                <w:sz w:val="28"/>
                <w:szCs w:val="28"/>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noWrap w:val="0"/>
            <w:vAlign w:val="top"/>
          </w:tcPr>
          <w:p>
            <w:pPr>
              <w:overflowPunct w:val="0"/>
              <w:rPr>
                <w:color w:val="auto"/>
                <w:sz w:val="28"/>
                <w:szCs w:val="28"/>
              </w:rPr>
            </w:pPr>
            <w:r>
              <w:rPr>
                <w:color w:val="auto"/>
                <w:sz w:val="28"/>
                <w:szCs w:val="28"/>
              </w:rPr>
              <w:t>年满26周岁不满28周岁</w:t>
            </w:r>
          </w:p>
        </w:tc>
        <w:tc>
          <w:tcPr>
            <w:tcW w:w="2394" w:type="dxa"/>
            <w:noWrap w:val="0"/>
            <w:vAlign w:val="center"/>
          </w:tcPr>
          <w:p>
            <w:pPr>
              <w:overflowPunct w:val="0"/>
              <w:jc w:val="center"/>
              <w:rPr>
                <w:color w:val="auto"/>
                <w:sz w:val="28"/>
                <w:szCs w:val="28"/>
              </w:rPr>
            </w:pPr>
            <w:r>
              <w:rPr>
                <w:color w:val="auto"/>
                <w:sz w:val="28"/>
                <w:szCs w:val="28"/>
              </w:rPr>
              <w:t>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noWrap w:val="0"/>
            <w:vAlign w:val="top"/>
          </w:tcPr>
          <w:p>
            <w:pPr>
              <w:overflowPunct w:val="0"/>
              <w:rPr>
                <w:color w:val="auto"/>
                <w:sz w:val="28"/>
                <w:szCs w:val="28"/>
              </w:rPr>
            </w:pPr>
            <w:r>
              <w:rPr>
                <w:color w:val="auto"/>
                <w:sz w:val="28"/>
                <w:szCs w:val="28"/>
              </w:rPr>
              <w:t>年满24周岁不满26周岁</w:t>
            </w:r>
          </w:p>
        </w:tc>
        <w:tc>
          <w:tcPr>
            <w:tcW w:w="2394" w:type="dxa"/>
            <w:noWrap w:val="0"/>
            <w:vAlign w:val="center"/>
          </w:tcPr>
          <w:p>
            <w:pPr>
              <w:overflowPunct w:val="0"/>
              <w:jc w:val="center"/>
              <w:rPr>
                <w:color w:val="auto"/>
                <w:sz w:val="28"/>
                <w:szCs w:val="28"/>
              </w:rPr>
            </w:pPr>
            <w:r>
              <w:rPr>
                <w:color w:val="auto"/>
                <w:sz w:val="28"/>
                <w:szCs w:val="28"/>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noWrap w:val="0"/>
            <w:vAlign w:val="top"/>
          </w:tcPr>
          <w:p>
            <w:pPr>
              <w:overflowPunct w:val="0"/>
              <w:rPr>
                <w:color w:val="auto"/>
                <w:sz w:val="28"/>
                <w:szCs w:val="28"/>
              </w:rPr>
            </w:pPr>
            <w:r>
              <w:rPr>
                <w:color w:val="auto"/>
                <w:sz w:val="28"/>
                <w:szCs w:val="28"/>
              </w:rPr>
              <w:t>年满22周岁不满24周岁</w:t>
            </w:r>
          </w:p>
        </w:tc>
        <w:tc>
          <w:tcPr>
            <w:tcW w:w="2394" w:type="dxa"/>
            <w:noWrap w:val="0"/>
            <w:vAlign w:val="center"/>
          </w:tcPr>
          <w:p>
            <w:pPr>
              <w:overflowPunct w:val="0"/>
              <w:jc w:val="center"/>
              <w:rPr>
                <w:color w:val="auto"/>
                <w:sz w:val="28"/>
                <w:szCs w:val="28"/>
              </w:rPr>
            </w:pPr>
            <w:r>
              <w:rPr>
                <w:color w:val="auto"/>
                <w:sz w:val="28"/>
                <w:szCs w:val="28"/>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noWrap w:val="0"/>
            <w:vAlign w:val="top"/>
          </w:tcPr>
          <w:p>
            <w:pPr>
              <w:overflowPunct w:val="0"/>
              <w:rPr>
                <w:color w:val="auto"/>
                <w:sz w:val="28"/>
                <w:szCs w:val="28"/>
              </w:rPr>
            </w:pPr>
            <w:r>
              <w:rPr>
                <w:color w:val="auto"/>
                <w:sz w:val="28"/>
                <w:szCs w:val="28"/>
              </w:rPr>
              <w:t>年满20周岁不满22周岁</w:t>
            </w:r>
          </w:p>
        </w:tc>
        <w:tc>
          <w:tcPr>
            <w:tcW w:w="2394" w:type="dxa"/>
            <w:noWrap w:val="0"/>
            <w:vAlign w:val="center"/>
          </w:tcPr>
          <w:p>
            <w:pPr>
              <w:overflowPunct w:val="0"/>
              <w:jc w:val="center"/>
              <w:rPr>
                <w:color w:val="auto"/>
                <w:sz w:val="28"/>
                <w:szCs w:val="28"/>
              </w:rPr>
            </w:pPr>
            <w:r>
              <w:rPr>
                <w:color w:val="auto"/>
                <w:sz w:val="28"/>
                <w:szCs w:val="28"/>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noWrap w:val="0"/>
            <w:vAlign w:val="top"/>
          </w:tcPr>
          <w:p>
            <w:pPr>
              <w:overflowPunct w:val="0"/>
              <w:rPr>
                <w:color w:val="auto"/>
                <w:sz w:val="28"/>
                <w:szCs w:val="28"/>
              </w:rPr>
            </w:pPr>
            <w:r>
              <w:rPr>
                <w:color w:val="auto"/>
                <w:sz w:val="28"/>
                <w:szCs w:val="28"/>
              </w:rPr>
              <w:t>年满18周岁不满20周岁</w:t>
            </w:r>
          </w:p>
        </w:tc>
        <w:tc>
          <w:tcPr>
            <w:tcW w:w="2394" w:type="dxa"/>
            <w:noWrap w:val="0"/>
            <w:vAlign w:val="center"/>
          </w:tcPr>
          <w:p>
            <w:pPr>
              <w:overflowPunct w:val="0"/>
              <w:jc w:val="center"/>
              <w:rPr>
                <w:color w:val="auto"/>
                <w:sz w:val="28"/>
                <w:szCs w:val="28"/>
              </w:rPr>
            </w:pPr>
            <w:r>
              <w:rPr>
                <w:color w:val="auto"/>
                <w:sz w:val="28"/>
                <w:szCs w:val="28"/>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noWrap w:val="0"/>
            <w:vAlign w:val="top"/>
          </w:tcPr>
          <w:p>
            <w:pPr>
              <w:overflowPunct w:val="0"/>
              <w:rPr>
                <w:color w:val="auto"/>
                <w:sz w:val="28"/>
                <w:szCs w:val="28"/>
              </w:rPr>
            </w:pPr>
            <w:r>
              <w:rPr>
                <w:color w:val="auto"/>
                <w:sz w:val="28"/>
                <w:szCs w:val="28"/>
              </w:rPr>
              <w:t>年满16周岁不满18周岁</w:t>
            </w:r>
          </w:p>
        </w:tc>
        <w:tc>
          <w:tcPr>
            <w:tcW w:w="2394" w:type="dxa"/>
            <w:noWrap w:val="0"/>
            <w:vAlign w:val="center"/>
          </w:tcPr>
          <w:p>
            <w:pPr>
              <w:overflowPunct w:val="0"/>
              <w:jc w:val="center"/>
              <w:rPr>
                <w:color w:val="auto"/>
                <w:sz w:val="28"/>
                <w:szCs w:val="28"/>
              </w:rPr>
            </w:pPr>
            <w:r>
              <w:rPr>
                <w:color w:val="auto"/>
                <w:sz w:val="28"/>
                <w:szCs w:val="28"/>
              </w:rPr>
              <w:t>2年</w:t>
            </w:r>
          </w:p>
        </w:tc>
      </w:tr>
    </w:tbl>
    <w:p>
      <w:pPr>
        <w:overflowPunct w:val="0"/>
        <w:spacing w:afterLines="0" w:line="578" w:lineRule="exact"/>
        <w:ind w:firstLine="632" w:firstLineChars="200"/>
        <w:rPr>
          <w:color w:val="auto"/>
          <w:szCs w:val="32"/>
        </w:rPr>
      </w:pPr>
      <w:r>
        <w:rPr>
          <w:rFonts w:eastAsia="方正楷体_GBK"/>
          <w:color w:val="auto"/>
          <w:szCs w:val="32"/>
        </w:rPr>
        <w:t>（</w:t>
      </w:r>
      <w:r>
        <w:rPr>
          <w:rFonts w:hint="eastAsia" w:eastAsia="方正楷体_GBK"/>
          <w:color w:val="auto"/>
          <w:szCs w:val="32"/>
        </w:rPr>
        <w:t>三</w:t>
      </w:r>
      <w:r>
        <w:rPr>
          <w:rFonts w:eastAsia="方正楷体_GBK"/>
          <w:color w:val="auto"/>
          <w:szCs w:val="32"/>
        </w:rPr>
        <w:t>）缴费补贴标准。</w:t>
      </w:r>
      <w:r>
        <w:rPr>
          <w:color w:val="auto"/>
          <w:szCs w:val="32"/>
        </w:rPr>
        <w:t>缴费补贴标准为5500元/人</w:t>
      </w:r>
      <w:r>
        <w:rPr>
          <w:rFonts w:hint="eastAsia" w:ascii="方正仿宋_GBK" w:hAnsi="方正仿宋_GBK" w:cs="方正仿宋_GBK"/>
          <w:color w:val="auto"/>
          <w:szCs w:val="32"/>
        </w:rPr>
        <w:t>·</w:t>
      </w:r>
      <w:r>
        <w:rPr>
          <w:color w:val="auto"/>
          <w:szCs w:val="32"/>
        </w:rPr>
        <w:t>年。</w:t>
      </w:r>
    </w:p>
    <w:p>
      <w:pPr>
        <w:autoSpaceDE w:val="0"/>
        <w:autoSpaceDN w:val="0"/>
        <w:spacing w:afterLines="0" w:line="578" w:lineRule="exact"/>
        <w:ind w:firstLine="632" w:firstLineChars="200"/>
        <w:rPr>
          <w:color w:val="auto"/>
          <w:szCs w:val="32"/>
        </w:rPr>
      </w:pPr>
      <w:r>
        <w:rPr>
          <w:rFonts w:eastAsia="方正楷体_GBK"/>
          <w:color w:val="auto"/>
          <w:szCs w:val="32"/>
        </w:rPr>
        <w:t>（</w:t>
      </w:r>
      <w:r>
        <w:rPr>
          <w:rFonts w:hint="eastAsia" w:eastAsia="方正楷体_GBK"/>
          <w:color w:val="auto"/>
          <w:szCs w:val="32"/>
        </w:rPr>
        <w:t>四</w:t>
      </w:r>
      <w:r>
        <w:rPr>
          <w:rFonts w:eastAsia="方正楷体_GBK"/>
          <w:color w:val="auto"/>
          <w:szCs w:val="32"/>
        </w:rPr>
        <w:t>）其他事项。</w:t>
      </w:r>
      <w:r>
        <w:rPr>
          <w:color w:val="auto"/>
          <w:szCs w:val="32"/>
        </w:rPr>
        <w:t>具体补贴办法及其他有关规定，按照《重庆市人民政府办公厅关于做好征地人员安置对象参加基本养老保险并实施缴费补贴政策有关工作的通知》（渝府办发〔2021〕96号）执行。</w:t>
      </w:r>
    </w:p>
    <w:p>
      <w:pPr>
        <w:autoSpaceDE w:val="0"/>
        <w:autoSpaceDN w:val="0"/>
        <w:spacing w:afterLines="0" w:line="578" w:lineRule="exact"/>
        <w:ind w:firstLine="632" w:firstLineChars="200"/>
        <w:rPr>
          <w:rFonts w:eastAsia="方正黑体_GBK"/>
          <w:color w:val="auto"/>
        </w:rPr>
      </w:pPr>
      <w:r>
        <w:rPr>
          <w:rFonts w:eastAsia="方正黑体_GBK"/>
          <w:color w:val="auto"/>
          <w:kern w:val="0"/>
          <w:szCs w:val="32"/>
        </w:rPr>
        <w:t>六、</w:t>
      </w:r>
      <w:r>
        <w:rPr>
          <w:rFonts w:eastAsia="方正黑体_GBK"/>
          <w:color w:val="auto"/>
        </w:rPr>
        <w:t>按时搬迁奖励</w:t>
      </w:r>
    </w:p>
    <w:p>
      <w:pPr>
        <w:autoSpaceDE w:val="0"/>
        <w:autoSpaceDN w:val="0"/>
        <w:spacing w:afterLines="0" w:line="578" w:lineRule="exact"/>
        <w:ind w:firstLine="632" w:firstLineChars="200"/>
        <w:rPr>
          <w:color w:val="auto"/>
        </w:rPr>
      </w:pPr>
      <w:r>
        <w:rPr>
          <w:color w:val="auto"/>
        </w:rPr>
        <w:t>坟墓按时搬迁奖励标准为每座坟1500元。</w:t>
      </w:r>
    </w:p>
    <w:p>
      <w:pPr>
        <w:spacing w:afterLines="0" w:line="578" w:lineRule="exact"/>
        <w:ind w:firstLine="632" w:firstLineChars="200"/>
        <w:rPr>
          <w:rFonts w:eastAsia="方正黑体_GBK"/>
          <w:color w:val="auto"/>
          <w:kern w:val="0"/>
          <w:szCs w:val="32"/>
        </w:rPr>
      </w:pPr>
      <w:r>
        <w:rPr>
          <w:rFonts w:eastAsia="方正黑体_GBK"/>
          <w:color w:val="auto"/>
          <w:kern w:val="0"/>
          <w:szCs w:val="32"/>
        </w:rPr>
        <w:t>七、其他事项</w:t>
      </w:r>
    </w:p>
    <w:p>
      <w:pPr>
        <w:spacing w:afterLines="0" w:line="578" w:lineRule="exact"/>
        <w:ind w:firstLine="640"/>
        <w:rPr>
          <w:color w:val="auto"/>
          <w:kern w:val="0"/>
          <w:szCs w:val="32"/>
        </w:rPr>
      </w:pPr>
      <w:r>
        <w:rPr>
          <w:color w:val="auto"/>
          <w:kern w:val="0"/>
          <w:szCs w:val="32"/>
        </w:rPr>
        <w:t>涉及生产经营活动搬迁的，按照</w:t>
      </w:r>
      <w:r>
        <w:rPr>
          <w:color w:val="auto"/>
          <w:szCs w:val="32"/>
        </w:rPr>
        <w:t>《巫溪县集体土地征收补偿安置实施办法》（巫溪府发〔2021〕13号）</w:t>
      </w:r>
      <w:r>
        <w:rPr>
          <w:color w:val="auto"/>
          <w:kern w:val="0"/>
          <w:szCs w:val="32"/>
        </w:rPr>
        <w:t>第十二条规定对生产经营者一次性给予搬迁补助费。</w:t>
      </w:r>
    </w:p>
    <w:p>
      <w:pPr>
        <w:spacing w:afterLines="0" w:line="578" w:lineRule="exact"/>
        <w:rPr>
          <w:rFonts w:eastAsia="方正黑体_GBK"/>
          <w:color w:val="auto"/>
          <w:kern w:val="0"/>
          <w:szCs w:val="32"/>
        </w:rPr>
      </w:pPr>
      <w:r>
        <w:rPr>
          <w:rFonts w:eastAsia="方正黑体_GBK"/>
          <w:color w:val="auto"/>
          <w:kern w:val="0"/>
          <w:szCs w:val="32"/>
        </w:rPr>
        <w:t xml:space="preserve">    八、监督检查</w:t>
      </w:r>
    </w:p>
    <w:p>
      <w:pPr>
        <w:spacing w:afterLines="0" w:line="578" w:lineRule="exact"/>
        <w:ind w:firstLine="640"/>
        <w:rPr>
          <w:color w:val="auto"/>
          <w:kern w:val="0"/>
          <w:szCs w:val="32"/>
        </w:rPr>
      </w:pPr>
      <w:r>
        <w:rPr>
          <w:color w:val="auto"/>
          <w:kern w:val="0"/>
          <w:szCs w:val="32"/>
        </w:rPr>
        <w:t>在实施征地过程中，被征地拆迁群众对有关人员徇私舞弊、弄虚作假、违反征地政策规定可进行举报，经调查核实，情况属实并造成国家重大经济损失的，依法追究其责任，构成犯罪的，依法追究其刑事责任。</w:t>
      </w:r>
    </w:p>
    <w:p>
      <w:pPr>
        <w:spacing w:afterLines="0" w:line="578" w:lineRule="exact"/>
        <w:ind w:firstLine="632" w:firstLineChars="200"/>
        <w:rPr>
          <w:rFonts w:hint="default" w:eastAsia="方正黑体_GBK"/>
          <w:color w:val="auto"/>
          <w:kern w:val="0"/>
          <w:szCs w:val="32"/>
        </w:rPr>
      </w:pPr>
      <w:r>
        <w:rPr>
          <w:rFonts w:hint="default" w:eastAsia="方正黑体_GBK"/>
          <w:color w:val="auto"/>
          <w:kern w:val="0"/>
          <w:szCs w:val="32"/>
        </w:rPr>
        <w:t>九、本方案仅适用于</w:t>
      </w:r>
      <w:r>
        <w:rPr>
          <w:rFonts w:hint="default" w:eastAsia="方正黑体_GBK"/>
          <w:color w:val="auto"/>
          <w:kern w:val="0"/>
          <w:szCs w:val="32"/>
          <w:lang w:eastAsia="zh-CN"/>
        </w:rPr>
        <w:t>实施</w:t>
      </w:r>
      <w:r>
        <w:rPr>
          <w:rFonts w:hint="default" w:ascii="Times New Roman" w:hAnsi="Times New Roman" w:eastAsia="方正黑体_GBK" w:cs="Times New Roman"/>
          <w:color w:val="auto"/>
          <w:kern w:val="0"/>
          <w:sz w:val="32"/>
          <w:szCs w:val="32"/>
          <w:lang w:eastAsia="zh-CN"/>
        </w:rPr>
        <w:t>绕城路大宁河大桥项目</w:t>
      </w:r>
      <w:r>
        <w:rPr>
          <w:rFonts w:hint="default" w:eastAsia="方正黑体_GBK"/>
          <w:color w:val="auto"/>
          <w:kern w:val="0"/>
          <w:szCs w:val="32"/>
        </w:rPr>
        <w:t>征地范围内的补偿安置方案。</w:t>
      </w:r>
    </w:p>
    <w:p>
      <w:pPr>
        <w:spacing w:afterLines="0" w:line="578" w:lineRule="exact"/>
        <w:ind w:firstLine="632" w:firstLineChars="200"/>
        <w:rPr>
          <w:rFonts w:hint="default" w:eastAsia="方正黑体_GBK"/>
          <w:color w:val="auto"/>
          <w:kern w:val="0"/>
          <w:szCs w:val="32"/>
        </w:rPr>
      </w:pPr>
      <w:r>
        <w:rPr>
          <w:rFonts w:hint="default" w:eastAsia="方正黑体_GBK"/>
          <w:color w:val="auto"/>
          <w:kern w:val="0"/>
          <w:szCs w:val="32"/>
        </w:rPr>
        <w:t>十、本方案未尽事宜，按照市、县有关规定执行。</w:t>
      </w:r>
    </w:p>
    <w:p>
      <w:pPr>
        <w:pStyle w:val="7"/>
        <w:widowControl w:val="0"/>
        <w:adjustRightInd/>
        <w:snapToGrid/>
        <w:spacing w:after="0" w:line="578" w:lineRule="exact"/>
        <w:jc w:val="both"/>
        <w:rPr>
          <w:rFonts w:ascii="Times New Roman" w:hAnsi="Times New Roman"/>
          <w:color w:val="auto"/>
        </w:rPr>
      </w:pPr>
    </w:p>
    <w:p>
      <w:pPr>
        <w:pStyle w:val="17"/>
        <w:spacing w:after="0" w:line="578" w:lineRule="exact"/>
        <w:ind w:firstLine="631" w:firstLineChars="0"/>
        <w:rPr>
          <w:rFonts w:hint="eastAsia" w:ascii="Times New Roman" w:hAnsi="Times New Roman"/>
          <w:bCs/>
          <w:color w:val="auto"/>
          <w:szCs w:val="32"/>
        </w:rPr>
      </w:pPr>
      <w:r>
        <w:rPr>
          <w:rFonts w:ascii="Times New Roman" w:hAnsi="Times New Roman"/>
          <w:color w:val="auto"/>
          <w:szCs w:val="32"/>
        </w:rPr>
        <w:t>附件</w:t>
      </w:r>
      <w:r>
        <w:rPr>
          <w:rFonts w:hint="eastAsia" w:ascii="Times New Roman" w:hAnsi="Times New Roman"/>
          <w:color w:val="auto"/>
          <w:szCs w:val="32"/>
        </w:rPr>
        <w:t>之附件</w:t>
      </w:r>
      <w:r>
        <w:rPr>
          <w:rFonts w:ascii="Times New Roman" w:hAnsi="Times New Roman"/>
          <w:color w:val="auto"/>
          <w:szCs w:val="32"/>
        </w:rPr>
        <w:t>：1．</w:t>
      </w:r>
      <w:r>
        <w:rPr>
          <w:rFonts w:hint="eastAsia" w:ascii="Times New Roman" w:hAnsi="Times New Roman"/>
          <w:color w:val="auto"/>
          <w:szCs w:val="32"/>
        </w:rPr>
        <w:t>实施</w:t>
      </w:r>
      <w:r>
        <w:rPr>
          <w:rFonts w:hint="eastAsia" w:ascii="Times New Roman" w:hAnsi="Times New Roman" w:eastAsia="方正仿宋_GBK" w:cs="Times New Roman"/>
          <w:color w:val="auto"/>
          <w:sz w:val="32"/>
          <w:szCs w:val="32"/>
          <w:lang w:eastAsia="zh-CN"/>
        </w:rPr>
        <w:t>绕城路大宁河大桥项目</w:t>
      </w:r>
      <w:r>
        <w:rPr>
          <w:rFonts w:hint="eastAsia" w:ascii="Times New Roman" w:hAnsi="Times New Roman" w:cs="方正仿宋_GBK"/>
          <w:color w:val="auto"/>
          <w:spacing w:val="-6"/>
          <w:szCs w:val="32"/>
        </w:rPr>
        <w:t>勘测定界图</w:t>
      </w:r>
    </w:p>
    <w:p>
      <w:pPr>
        <w:pStyle w:val="17"/>
        <w:spacing w:after="0" w:line="578" w:lineRule="exact"/>
        <w:ind w:firstLine="316"/>
        <w:rPr>
          <w:rFonts w:hint="eastAsia" w:ascii="Times New Roman" w:hAnsi="Times New Roman" w:cs="方正仿宋_GBK"/>
          <w:color w:val="auto"/>
        </w:rPr>
      </w:pPr>
      <w:r>
        <w:rPr>
          <w:rFonts w:hint="eastAsia" w:ascii="Times New Roman" w:hAnsi="Times New Roman" w:cs="方正仿宋_GBK"/>
          <w:color w:val="auto"/>
        </w:rPr>
        <w:t xml:space="preserve">              2</w:t>
      </w:r>
      <w:r>
        <w:rPr>
          <w:rFonts w:ascii="Times New Roman" w:hAnsi="Times New Roman"/>
          <w:color w:val="auto"/>
          <w:szCs w:val="32"/>
        </w:rPr>
        <w:t>．</w:t>
      </w:r>
      <w:r>
        <w:rPr>
          <w:rFonts w:hint="eastAsia" w:ascii="Times New Roman" w:hAnsi="Times New Roman"/>
          <w:bCs/>
          <w:color w:val="auto"/>
          <w:szCs w:val="32"/>
        </w:rPr>
        <w:t>土地分类面积和征地安置人员情况表</w:t>
      </w:r>
    </w:p>
    <w:p>
      <w:pPr>
        <w:pStyle w:val="17"/>
        <w:spacing w:after="0" w:line="578" w:lineRule="exact"/>
        <w:ind w:firstLine="316"/>
        <w:rPr>
          <w:rFonts w:hint="eastAsia" w:ascii="Times New Roman" w:hAnsi="Times New Roman" w:eastAsia="方正黑体_GBK"/>
          <w:color w:val="auto"/>
          <w:szCs w:val="32"/>
        </w:rPr>
      </w:pPr>
      <w:r>
        <w:rPr>
          <w:rFonts w:hint="eastAsia" w:ascii="Times New Roman" w:hAnsi="Times New Roman" w:cs="方正仿宋_GBK"/>
          <w:color w:val="auto"/>
          <w:szCs w:val="32"/>
        </w:rPr>
        <w:t xml:space="preserve">              3</w:t>
      </w:r>
      <w:r>
        <w:rPr>
          <w:rFonts w:ascii="Times New Roman" w:hAnsi="Times New Roman"/>
          <w:color w:val="auto"/>
          <w:szCs w:val="32"/>
        </w:rPr>
        <w:t>．</w:t>
      </w:r>
      <w:r>
        <w:rPr>
          <w:rFonts w:hint="eastAsia" w:ascii="Times New Roman" w:hAnsi="Times New Roman" w:cs="方正仿宋_GBK"/>
          <w:color w:val="auto"/>
        </w:rPr>
        <w:t>土地补偿费和安置补助费明细表</w:t>
      </w:r>
    </w:p>
    <w:p>
      <w:pPr>
        <w:overflowPunct w:val="0"/>
        <w:snapToGrid w:val="0"/>
        <w:spacing w:afterLines="0" w:line="600" w:lineRule="exact"/>
        <w:rPr>
          <w:rFonts w:ascii="Times New Roman" w:hAnsi="Times New Roman" w:eastAsia="方正黑体_GBK"/>
          <w:color w:val="auto"/>
          <w:szCs w:val="32"/>
        </w:rPr>
        <w:sectPr>
          <w:headerReference r:id="rId4" w:type="first"/>
          <w:footerReference r:id="rId7" w:type="first"/>
          <w:footerReference r:id="rId5" w:type="default"/>
          <w:headerReference r:id="rId3" w:type="even"/>
          <w:footerReference r:id="rId6" w:type="even"/>
          <w:pgSz w:w="11907" w:h="16840"/>
          <w:pgMar w:top="2098" w:right="1474" w:bottom="1985" w:left="1588" w:header="851" w:footer="1474" w:gutter="0"/>
          <w:pgNumType w:start="1"/>
          <w:cols w:space="720" w:num="1"/>
          <w:docGrid w:type="linesAndChars" w:linePitch="579" w:charSpace="-849"/>
        </w:sectPr>
      </w:pPr>
    </w:p>
    <w:p>
      <w:pPr>
        <w:spacing w:line="578" w:lineRule="exact"/>
        <w:rPr>
          <w:rFonts w:hint="eastAsia" w:eastAsia="方正黑体_GBK"/>
          <w:bCs/>
          <w:color w:val="auto"/>
          <w:kern w:val="0"/>
          <w:szCs w:val="32"/>
        </w:rPr>
      </w:pPr>
      <w:r>
        <w:rPr>
          <w:rFonts w:hint="eastAsia" w:eastAsia="方正黑体_GBK"/>
          <w:bCs/>
          <w:color w:val="auto"/>
          <w:kern w:val="0"/>
          <w:szCs w:val="32"/>
        </w:rPr>
        <w:t>附件之</w:t>
      </w:r>
      <w:r>
        <w:rPr>
          <w:rFonts w:eastAsia="方正黑体_GBK"/>
          <w:bCs/>
          <w:color w:val="auto"/>
          <w:kern w:val="0"/>
          <w:szCs w:val="32"/>
        </w:rPr>
        <w:t>附件</w:t>
      </w:r>
      <w:r>
        <w:rPr>
          <w:rFonts w:hint="eastAsia" w:eastAsia="方正黑体_GBK"/>
          <w:bCs/>
          <w:color w:val="auto"/>
          <w:kern w:val="0"/>
          <w:szCs w:val="32"/>
        </w:rPr>
        <w:t>1</w:t>
      </w:r>
    </w:p>
    <w:p>
      <w:pPr>
        <w:spacing w:line="578" w:lineRule="exact"/>
        <w:rPr>
          <w:rFonts w:eastAsia="方正黑体_GBK"/>
          <w:bCs/>
          <w:color w:val="auto"/>
          <w:kern w:val="0"/>
          <w:szCs w:val="32"/>
        </w:rPr>
      </w:pPr>
    </w:p>
    <w:p>
      <w:pPr>
        <w:snapToGrid w:val="0"/>
        <w:spacing w:line="578" w:lineRule="exact"/>
        <w:jc w:val="center"/>
        <w:rPr>
          <w:rFonts w:hint="eastAsia" w:eastAsia="方正小标宋_GBK"/>
          <w:color w:val="auto"/>
          <w:kern w:val="0"/>
          <w:sz w:val="44"/>
          <w:szCs w:val="44"/>
        </w:rPr>
      </w:pPr>
      <w:r>
        <w:rPr>
          <w:rFonts w:hint="eastAsia" w:eastAsia="方正小标宋_GBK"/>
          <w:color w:val="auto"/>
          <w:kern w:val="0"/>
          <w:sz w:val="44"/>
          <w:szCs w:val="44"/>
        </w:rPr>
        <w:t>实施绕城路大宁河大桥项目</w:t>
      </w:r>
      <w:r>
        <w:rPr>
          <w:rFonts w:eastAsia="方正小标宋_GBK"/>
          <w:color w:val="auto"/>
          <w:kern w:val="0"/>
          <w:sz w:val="44"/>
          <w:szCs w:val="44"/>
        </w:rPr>
        <w:t>勘测定界图</w:t>
      </w:r>
    </w:p>
    <w:p>
      <w:pPr>
        <w:snapToGrid w:val="0"/>
        <w:spacing w:line="560" w:lineRule="exact"/>
        <w:jc w:val="center"/>
        <w:rPr>
          <w:rFonts w:eastAsia="方正小标宋_GBK"/>
          <w:color w:val="auto"/>
          <w:kern w:val="0"/>
          <w:sz w:val="44"/>
          <w:szCs w:val="44"/>
        </w:rPr>
      </w:pPr>
    </w:p>
    <w:p>
      <w:pPr>
        <w:jc w:val="center"/>
        <w:rPr>
          <w:rFonts w:eastAsia="方正小标宋_GBK"/>
          <w:color w:val="auto"/>
          <w:kern w:val="0"/>
          <w:sz w:val="44"/>
          <w:szCs w:val="44"/>
        </w:rPr>
      </w:pPr>
      <w:r>
        <w:rPr>
          <w:rFonts w:eastAsia="方正小标宋_GBK"/>
          <w:color w:val="auto"/>
          <w:kern w:val="0"/>
          <w:sz w:val="44"/>
          <w:szCs w:val="44"/>
        </w:rPr>
        <w:drawing>
          <wp:inline distT="0" distB="0" distL="114300" distR="114300">
            <wp:extent cx="5608320" cy="3469640"/>
            <wp:effectExtent l="0" t="0" r="11430" b="16510"/>
            <wp:docPr id="2" name="图片 2" descr="勘测定界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勘测定界图"/>
                    <pic:cNvPicPr>
                      <a:picLocks noChangeAspect="true"/>
                    </pic:cNvPicPr>
                  </pic:nvPicPr>
                  <pic:blipFill>
                    <a:blip r:embed="rId11"/>
                    <a:stretch>
                      <a:fillRect/>
                    </a:stretch>
                  </pic:blipFill>
                  <pic:spPr>
                    <a:xfrm>
                      <a:off x="0" y="0"/>
                      <a:ext cx="5608320" cy="3469640"/>
                    </a:xfrm>
                    <a:prstGeom prst="rect">
                      <a:avLst/>
                    </a:prstGeom>
                    <a:noFill/>
                    <a:ln>
                      <a:noFill/>
                    </a:ln>
                  </pic:spPr>
                </pic:pic>
              </a:graphicData>
            </a:graphic>
          </wp:inline>
        </w:drawing>
      </w:r>
    </w:p>
    <w:p>
      <w:pPr>
        <w:jc w:val="center"/>
        <w:rPr>
          <w:rFonts w:hint="eastAsia" w:eastAsia="方正小标宋_GBK"/>
          <w:color w:val="auto"/>
          <w:kern w:val="0"/>
          <w:sz w:val="44"/>
          <w:szCs w:val="44"/>
        </w:rPr>
      </w:pPr>
    </w:p>
    <w:p>
      <w:pPr>
        <w:rPr>
          <w:rFonts w:ascii="Times New Roman" w:hAnsi="Times New Roman"/>
          <w:color w:val="auto"/>
        </w:rPr>
        <w:sectPr>
          <w:footerReference r:id="rId9" w:type="default"/>
          <w:headerReference r:id="rId8" w:type="even"/>
          <w:pgSz w:w="11907" w:h="16840"/>
          <w:pgMar w:top="2098" w:right="1474" w:bottom="1985" w:left="1588" w:header="851" w:footer="1474" w:gutter="0"/>
          <w:cols w:space="720" w:num="1"/>
          <w:docGrid w:type="linesAndChars" w:linePitch="579" w:charSpace="-849"/>
        </w:sectPr>
      </w:pPr>
    </w:p>
    <w:p>
      <w:pPr>
        <w:overflowPunct w:val="0"/>
        <w:snapToGrid w:val="0"/>
        <w:spacing w:line="578" w:lineRule="exact"/>
        <w:rPr>
          <w:rFonts w:hint="eastAsia" w:eastAsia="方正黑体_GBK"/>
          <w:color w:val="auto"/>
          <w:szCs w:val="32"/>
        </w:rPr>
      </w:pPr>
      <w:r>
        <w:rPr>
          <w:rFonts w:hint="eastAsia" w:eastAsia="方正黑体_GBK"/>
          <w:color w:val="auto"/>
          <w:szCs w:val="32"/>
        </w:rPr>
        <w:t>附件之</w:t>
      </w:r>
      <w:r>
        <w:rPr>
          <w:rFonts w:eastAsia="方正黑体_GBK"/>
          <w:color w:val="auto"/>
          <w:szCs w:val="32"/>
        </w:rPr>
        <w:t>附件</w:t>
      </w:r>
      <w:r>
        <w:rPr>
          <w:rFonts w:hint="eastAsia" w:eastAsia="方正黑体_GBK"/>
          <w:color w:val="auto"/>
          <w:szCs w:val="32"/>
        </w:rPr>
        <w:t>2</w:t>
      </w:r>
    </w:p>
    <w:p>
      <w:pPr>
        <w:overflowPunct w:val="0"/>
        <w:snapToGrid w:val="0"/>
        <w:spacing w:line="578" w:lineRule="exact"/>
        <w:jc w:val="center"/>
        <w:rPr>
          <w:rFonts w:eastAsia="方正小标宋_GBK"/>
          <w:color w:val="auto"/>
          <w:sz w:val="44"/>
          <w:szCs w:val="44"/>
        </w:rPr>
      </w:pPr>
    </w:p>
    <w:p>
      <w:pPr>
        <w:overflowPunct w:val="0"/>
        <w:snapToGrid w:val="0"/>
        <w:spacing w:line="578" w:lineRule="exact"/>
        <w:jc w:val="center"/>
        <w:rPr>
          <w:rFonts w:eastAsia="方正小标宋_GBK"/>
          <w:color w:val="auto"/>
          <w:sz w:val="44"/>
          <w:szCs w:val="44"/>
        </w:rPr>
      </w:pPr>
      <w:r>
        <w:rPr>
          <w:rFonts w:eastAsia="方正小标宋_GBK"/>
          <w:color w:val="auto"/>
          <w:sz w:val="44"/>
          <w:szCs w:val="44"/>
        </w:rPr>
        <w:t>土地分类面积和征地安置人员情况表</w:t>
      </w:r>
    </w:p>
    <w:p>
      <w:pPr>
        <w:overflowPunct w:val="0"/>
        <w:snapToGrid w:val="0"/>
        <w:ind w:firstLine="472" w:firstLineChars="200"/>
        <w:jc w:val="center"/>
        <w:rPr>
          <w:color w:val="auto"/>
          <w:sz w:val="24"/>
        </w:rPr>
      </w:pPr>
      <w:r>
        <w:rPr>
          <w:color w:val="auto"/>
          <w:sz w:val="24"/>
        </w:rPr>
        <w:t xml:space="preserve">                                                                            单位：公顷、人</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0"/>
        <w:gridCol w:w="1557"/>
        <w:gridCol w:w="1218"/>
        <w:gridCol w:w="1200"/>
        <w:gridCol w:w="1144"/>
        <w:gridCol w:w="1463"/>
        <w:gridCol w:w="1218"/>
        <w:gridCol w:w="131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620" w:type="dxa"/>
            <w:vMerge w:val="restart"/>
            <w:noWrap w:val="0"/>
            <w:vAlign w:val="center"/>
          </w:tcPr>
          <w:p>
            <w:pPr>
              <w:pStyle w:val="48"/>
              <w:overflowPunct w:val="0"/>
              <w:jc w:val="center"/>
              <w:rPr>
                <w:rFonts w:hint="eastAsia" w:ascii="Times New Roman" w:eastAsia="方正黑体_GBK"/>
                <w:bCs/>
                <w:color w:val="auto"/>
              </w:rPr>
            </w:pPr>
            <w:r>
              <w:rPr>
                <w:rFonts w:hint="eastAsia" w:ascii="Times New Roman" w:eastAsia="方正黑体_GBK"/>
                <w:bCs/>
                <w:color w:val="auto"/>
              </w:rPr>
              <w:t>权属单位</w:t>
            </w:r>
          </w:p>
        </w:tc>
        <w:tc>
          <w:tcPr>
            <w:tcW w:w="1557" w:type="dxa"/>
            <w:vMerge w:val="restart"/>
            <w:noWrap w:val="0"/>
            <w:vAlign w:val="center"/>
          </w:tcPr>
          <w:p>
            <w:pPr>
              <w:pStyle w:val="48"/>
              <w:overflowPunct w:val="0"/>
              <w:spacing w:line="440" w:lineRule="exact"/>
              <w:jc w:val="center"/>
              <w:rPr>
                <w:rFonts w:hint="eastAsia" w:ascii="Times New Roman" w:eastAsia="方正黑体_GBK"/>
                <w:bCs/>
                <w:color w:val="auto"/>
              </w:rPr>
            </w:pPr>
            <w:r>
              <w:rPr>
                <w:rFonts w:hint="eastAsia" w:ascii="Times New Roman" w:eastAsia="方正黑体_GBK"/>
                <w:bCs/>
                <w:color w:val="auto"/>
              </w:rPr>
              <w:t>本次征地前总面  积</w:t>
            </w:r>
          </w:p>
        </w:tc>
        <w:tc>
          <w:tcPr>
            <w:tcW w:w="1218" w:type="dxa"/>
            <w:vMerge w:val="restart"/>
            <w:noWrap w:val="0"/>
            <w:vAlign w:val="center"/>
          </w:tcPr>
          <w:p>
            <w:pPr>
              <w:pStyle w:val="48"/>
              <w:overflowPunct w:val="0"/>
              <w:spacing w:line="440" w:lineRule="exact"/>
              <w:jc w:val="center"/>
              <w:rPr>
                <w:rFonts w:hint="eastAsia" w:ascii="Times New Roman" w:eastAsia="方正黑体_GBK"/>
                <w:bCs/>
                <w:color w:val="auto"/>
              </w:rPr>
            </w:pPr>
            <w:r>
              <w:rPr>
                <w:rFonts w:hint="eastAsia" w:ascii="Times New Roman" w:eastAsia="方正黑体_GBK"/>
                <w:bCs/>
                <w:color w:val="auto"/>
              </w:rPr>
              <w:t>本次征地前耕地面积</w:t>
            </w:r>
          </w:p>
        </w:tc>
        <w:tc>
          <w:tcPr>
            <w:tcW w:w="6338" w:type="dxa"/>
            <w:gridSpan w:val="5"/>
            <w:noWrap w:val="0"/>
            <w:vAlign w:val="center"/>
          </w:tcPr>
          <w:p>
            <w:pPr>
              <w:pStyle w:val="48"/>
              <w:overflowPunct w:val="0"/>
              <w:spacing w:line="440" w:lineRule="exact"/>
              <w:jc w:val="center"/>
              <w:rPr>
                <w:rFonts w:hint="eastAsia" w:ascii="Times New Roman" w:eastAsia="方正黑体_GBK"/>
                <w:bCs/>
                <w:color w:val="auto"/>
              </w:rPr>
            </w:pPr>
            <w:r>
              <w:rPr>
                <w:rFonts w:hint="eastAsia" w:ascii="Times New Roman" w:eastAsia="方正黑体_GBK"/>
                <w:bCs/>
                <w:color w:val="auto"/>
              </w:rPr>
              <w:t>本次征地分类面积</w:t>
            </w:r>
          </w:p>
        </w:tc>
        <w:tc>
          <w:tcPr>
            <w:tcW w:w="1133" w:type="dxa"/>
            <w:vMerge w:val="restart"/>
            <w:noWrap w:val="0"/>
            <w:vAlign w:val="center"/>
          </w:tcPr>
          <w:p>
            <w:pPr>
              <w:pStyle w:val="48"/>
              <w:overflowPunct w:val="0"/>
              <w:spacing w:line="440" w:lineRule="exact"/>
              <w:jc w:val="center"/>
              <w:rPr>
                <w:rFonts w:hint="eastAsia" w:ascii="Times New Roman" w:eastAsia="方正黑体_GBK"/>
                <w:bCs/>
                <w:color w:val="auto"/>
              </w:rPr>
            </w:pPr>
            <w:r>
              <w:rPr>
                <w:rFonts w:hint="eastAsia" w:ascii="Times New Roman" w:eastAsia="方正黑体_GBK"/>
                <w:bCs/>
                <w:color w:val="auto"/>
              </w:rPr>
              <w:t>人员安置对象人数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620" w:type="dxa"/>
            <w:vMerge w:val="continue"/>
            <w:noWrap w:val="0"/>
            <w:vAlign w:val="center"/>
          </w:tcPr>
          <w:p>
            <w:pPr>
              <w:pStyle w:val="48"/>
              <w:overflowPunct w:val="0"/>
              <w:jc w:val="center"/>
              <w:rPr>
                <w:rFonts w:ascii="Times New Roman"/>
                <w:b/>
                <w:bCs/>
                <w:color w:val="auto"/>
              </w:rPr>
            </w:pPr>
          </w:p>
        </w:tc>
        <w:tc>
          <w:tcPr>
            <w:tcW w:w="1557" w:type="dxa"/>
            <w:vMerge w:val="continue"/>
            <w:noWrap w:val="0"/>
            <w:vAlign w:val="center"/>
          </w:tcPr>
          <w:p>
            <w:pPr>
              <w:pStyle w:val="48"/>
              <w:overflowPunct w:val="0"/>
              <w:spacing w:line="440" w:lineRule="exact"/>
              <w:jc w:val="center"/>
              <w:rPr>
                <w:rFonts w:ascii="Times New Roman"/>
                <w:b/>
                <w:bCs/>
                <w:color w:val="auto"/>
              </w:rPr>
            </w:pPr>
          </w:p>
        </w:tc>
        <w:tc>
          <w:tcPr>
            <w:tcW w:w="1218" w:type="dxa"/>
            <w:vMerge w:val="continue"/>
            <w:noWrap w:val="0"/>
            <w:vAlign w:val="center"/>
          </w:tcPr>
          <w:p>
            <w:pPr>
              <w:pStyle w:val="48"/>
              <w:overflowPunct w:val="0"/>
              <w:spacing w:line="440" w:lineRule="exact"/>
              <w:jc w:val="center"/>
              <w:rPr>
                <w:rFonts w:ascii="Times New Roman"/>
                <w:b/>
                <w:bCs/>
                <w:color w:val="auto"/>
              </w:rPr>
            </w:pPr>
          </w:p>
        </w:tc>
        <w:tc>
          <w:tcPr>
            <w:tcW w:w="1200" w:type="dxa"/>
            <w:vMerge w:val="restart"/>
            <w:noWrap w:val="0"/>
            <w:vAlign w:val="center"/>
          </w:tcPr>
          <w:p>
            <w:pPr>
              <w:pStyle w:val="48"/>
              <w:overflowPunct w:val="0"/>
              <w:spacing w:line="440" w:lineRule="exact"/>
              <w:jc w:val="center"/>
              <w:rPr>
                <w:rFonts w:hint="eastAsia" w:ascii="Times New Roman" w:eastAsia="方正黑体_GBK"/>
                <w:bCs/>
                <w:color w:val="auto"/>
              </w:rPr>
            </w:pPr>
            <w:r>
              <w:rPr>
                <w:rFonts w:hint="eastAsia" w:ascii="Times New Roman" w:eastAsia="方正黑体_GBK"/>
                <w:bCs/>
                <w:color w:val="auto"/>
              </w:rPr>
              <w:t>总面积</w:t>
            </w:r>
          </w:p>
        </w:tc>
        <w:tc>
          <w:tcPr>
            <w:tcW w:w="5138" w:type="dxa"/>
            <w:gridSpan w:val="4"/>
            <w:tcBorders>
              <w:bottom w:val="single" w:color="auto" w:sz="4" w:space="0"/>
            </w:tcBorders>
            <w:noWrap w:val="0"/>
            <w:vAlign w:val="center"/>
          </w:tcPr>
          <w:p>
            <w:pPr>
              <w:pStyle w:val="48"/>
              <w:overflowPunct w:val="0"/>
              <w:spacing w:line="440" w:lineRule="exact"/>
              <w:jc w:val="center"/>
              <w:rPr>
                <w:rFonts w:hint="eastAsia" w:ascii="Times New Roman" w:eastAsia="方正黑体_GBK"/>
                <w:bCs/>
                <w:color w:val="auto"/>
              </w:rPr>
            </w:pPr>
            <w:r>
              <w:rPr>
                <w:rFonts w:hint="eastAsia" w:ascii="Times New Roman" w:eastAsia="方正黑体_GBK"/>
                <w:bCs/>
                <w:color w:val="auto"/>
              </w:rPr>
              <w:t>其中</w:t>
            </w:r>
          </w:p>
        </w:tc>
        <w:tc>
          <w:tcPr>
            <w:tcW w:w="1133" w:type="dxa"/>
            <w:vMerge w:val="continue"/>
            <w:noWrap w:val="0"/>
            <w:vAlign w:val="center"/>
          </w:tcPr>
          <w:p>
            <w:pPr>
              <w:pStyle w:val="48"/>
              <w:overflowPunct w:val="0"/>
              <w:spacing w:line="440" w:lineRule="exact"/>
              <w:jc w:val="center"/>
              <w:rPr>
                <w:rFonts w:ascii="Times New Roman"/>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620" w:type="dxa"/>
            <w:vMerge w:val="continue"/>
            <w:noWrap w:val="0"/>
            <w:vAlign w:val="center"/>
          </w:tcPr>
          <w:p>
            <w:pPr>
              <w:pStyle w:val="48"/>
              <w:overflowPunct w:val="0"/>
              <w:jc w:val="center"/>
              <w:rPr>
                <w:rFonts w:ascii="Times New Roman"/>
                <w:b/>
                <w:bCs/>
                <w:color w:val="auto"/>
              </w:rPr>
            </w:pPr>
          </w:p>
        </w:tc>
        <w:tc>
          <w:tcPr>
            <w:tcW w:w="1557" w:type="dxa"/>
            <w:vMerge w:val="continue"/>
            <w:noWrap w:val="0"/>
            <w:vAlign w:val="center"/>
          </w:tcPr>
          <w:p>
            <w:pPr>
              <w:pStyle w:val="48"/>
              <w:overflowPunct w:val="0"/>
              <w:spacing w:line="440" w:lineRule="exact"/>
              <w:jc w:val="center"/>
              <w:rPr>
                <w:rFonts w:ascii="Times New Roman"/>
                <w:b/>
                <w:bCs/>
                <w:color w:val="auto"/>
              </w:rPr>
            </w:pPr>
          </w:p>
        </w:tc>
        <w:tc>
          <w:tcPr>
            <w:tcW w:w="1218" w:type="dxa"/>
            <w:vMerge w:val="continue"/>
            <w:noWrap w:val="0"/>
            <w:vAlign w:val="center"/>
          </w:tcPr>
          <w:p>
            <w:pPr>
              <w:pStyle w:val="48"/>
              <w:overflowPunct w:val="0"/>
              <w:spacing w:line="440" w:lineRule="exact"/>
              <w:jc w:val="center"/>
              <w:rPr>
                <w:rFonts w:ascii="Times New Roman"/>
                <w:b/>
                <w:bCs/>
                <w:color w:val="auto"/>
              </w:rPr>
            </w:pPr>
          </w:p>
        </w:tc>
        <w:tc>
          <w:tcPr>
            <w:tcW w:w="1200" w:type="dxa"/>
            <w:vMerge w:val="continue"/>
            <w:noWrap w:val="0"/>
            <w:vAlign w:val="center"/>
          </w:tcPr>
          <w:p>
            <w:pPr>
              <w:pStyle w:val="48"/>
              <w:overflowPunct w:val="0"/>
              <w:spacing w:line="440" w:lineRule="exact"/>
              <w:jc w:val="center"/>
              <w:rPr>
                <w:rFonts w:hint="eastAsia" w:ascii="Times New Roman" w:eastAsia="方正黑体_GBK"/>
                <w:bCs/>
                <w:color w:val="auto"/>
              </w:rPr>
            </w:pPr>
          </w:p>
        </w:tc>
        <w:tc>
          <w:tcPr>
            <w:tcW w:w="2607" w:type="dxa"/>
            <w:gridSpan w:val="2"/>
            <w:tcBorders>
              <w:bottom w:val="nil"/>
            </w:tcBorders>
            <w:noWrap w:val="0"/>
            <w:vAlign w:val="center"/>
          </w:tcPr>
          <w:p>
            <w:pPr>
              <w:pStyle w:val="48"/>
              <w:overflowPunct w:val="0"/>
              <w:spacing w:line="440" w:lineRule="exact"/>
              <w:jc w:val="center"/>
              <w:rPr>
                <w:rFonts w:hint="eastAsia" w:ascii="Times New Roman" w:eastAsia="方正黑体_GBK"/>
                <w:bCs/>
                <w:color w:val="auto"/>
              </w:rPr>
            </w:pPr>
            <w:r>
              <w:rPr>
                <w:rFonts w:hint="eastAsia" w:ascii="Times New Roman" w:eastAsia="方正黑体_GBK"/>
                <w:bCs/>
                <w:color w:val="auto"/>
              </w:rPr>
              <w:t>农用地</w:t>
            </w:r>
          </w:p>
        </w:tc>
        <w:tc>
          <w:tcPr>
            <w:tcW w:w="1218" w:type="dxa"/>
            <w:vMerge w:val="restart"/>
            <w:noWrap w:val="0"/>
            <w:vAlign w:val="center"/>
          </w:tcPr>
          <w:p>
            <w:pPr>
              <w:pStyle w:val="48"/>
              <w:overflowPunct w:val="0"/>
              <w:spacing w:line="440" w:lineRule="exact"/>
              <w:jc w:val="center"/>
              <w:rPr>
                <w:rFonts w:hint="eastAsia" w:ascii="Times New Roman" w:eastAsia="方正黑体_GBK"/>
                <w:bCs/>
                <w:color w:val="auto"/>
              </w:rPr>
            </w:pPr>
            <w:r>
              <w:rPr>
                <w:rFonts w:hint="eastAsia" w:ascii="Times New Roman" w:eastAsia="方正黑体_GBK"/>
                <w:bCs/>
                <w:color w:val="auto"/>
              </w:rPr>
              <w:t>建设用地</w:t>
            </w:r>
          </w:p>
        </w:tc>
        <w:tc>
          <w:tcPr>
            <w:tcW w:w="1313" w:type="dxa"/>
            <w:vMerge w:val="restart"/>
            <w:noWrap w:val="0"/>
            <w:vAlign w:val="center"/>
          </w:tcPr>
          <w:p>
            <w:pPr>
              <w:pStyle w:val="48"/>
              <w:overflowPunct w:val="0"/>
              <w:spacing w:line="440" w:lineRule="exact"/>
              <w:jc w:val="center"/>
              <w:rPr>
                <w:rFonts w:hint="eastAsia" w:ascii="Times New Roman" w:eastAsia="方正黑体_GBK"/>
                <w:bCs/>
                <w:color w:val="auto"/>
              </w:rPr>
            </w:pPr>
            <w:r>
              <w:rPr>
                <w:rFonts w:hint="eastAsia" w:ascii="Times New Roman" w:eastAsia="方正黑体_GBK"/>
                <w:bCs/>
                <w:color w:val="auto"/>
              </w:rPr>
              <w:t>未利用地</w:t>
            </w:r>
          </w:p>
        </w:tc>
        <w:tc>
          <w:tcPr>
            <w:tcW w:w="1133" w:type="dxa"/>
            <w:vMerge w:val="continue"/>
            <w:noWrap w:val="0"/>
            <w:vAlign w:val="center"/>
          </w:tcPr>
          <w:p>
            <w:pPr>
              <w:pStyle w:val="48"/>
              <w:overflowPunct w:val="0"/>
              <w:spacing w:line="440" w:lineRule="exact"/>
              <w:jc w:val="center"/>
              <w:rPr>
                <w:rFonts w:ascii="Times New Roman"/>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620" w:type="dxa"/>
            <w:vMerge w:val="continue"/>
            <w:noWrap w:val="0"/>
            <w:vAlign w:val="center"/>
          </w:tcPr>
          <w:p>
            <w:pPr>
              <w:pStyle w:val="48"/>
              <w:overflowPunct w:val="0"/>
              <w:jc w:val="center"/>
              <w:rPr>
                <w:rFonts w:ascii="Times New Roman"/>
                <w:b/>
                <w:bCs/>
                <w:color w:val="auto"/>
              </w:rPr>
            </w:pPr>
          </w:p>
        </w:tc>
        <w:tc>
          <w:tcPr>
            <w:tcW w:w="1557" w:type="dxa"/>
            <w:vMerge w:val="continue"/>
            <w:noWrap w:val="0"/>
            <w:vAlign w:val="center"/>
          </w:tcPr>
          <w:p>
            <w:pPr>
              <w:pStyle w:val="48"/>
              <w:overflowPunct w:val="0"/>
              <w:spacing w:line="440" w:lineRule="exact"/>
              <w:jc w:val="center"/>
              <w:rPr>
                <w:rFonts w:ascii="Times New Roman"/>
                <w:b/>
                <w:bCs/>
                <w:color w:val="auto"/>
              </w:rPr>
            </w:pPr>
          </w:p>
        </w:tc>
        <w:tc>
          <w:tcPr>
            <w:tcW w:w="1218" w:type="dxa"/>
            <w:vMerge w:val="continue"/>
            <w:noWrap w:val="0"/>
            <w:vAlign w:val="center"/>
          </w:tcPr>
          <w:p>
            <w:pPr>
              <w:pStyle w:val="48"/>
              <w:overflowPunct w:val="0"/>
              <w:spacing w:line="440" w:lineRule="exact"/>
              <w:jc w:val="center"/>
              <w:rPr>
                <w:rFonts w:ascii="Times New Roman"/>
                <w:b/>
                <w:bCs/>
                <w:color w:val="auto"/>
              </w:rPr>
            </w:pPr>
          </w:p>
        </w:tc>
        <w:tc>
          <w:tcPr>
            <w:tcW w:w="1200" w:type="dxa"/>
            <w:vMerge w:val="continue"/>
            <w:noWrap w:val="0"/>
            <w:vAlign w:val="center"/>
          </w:tcPr>
          <w:p>
            <w:pPr>
              <w:pStyle w:val="48"/>
              <w:overflowPunct w:val="0"/>
              <w:spacing w:line="440" w:lineRule="exact"/>
              <w:jc w:val="center"/>
              <w:rPr>
                <w:rFonts w:ascii="Times New Roman"/>
                <w:b/>
                <w:bCs/>
                <w:color w:val="auto"/>
              </w:rPr>
            </w:pPr>
          </w:p>
        </w:tc>
        <w:tc>
          <w:tcPr>
            <w:tcW w:w="1144" w:type="dxa"/>
            <w:tcBorders>
              <w:top w:val="nil"/>
            </w:tcBorders>
            <w:noWrap w:val="0"/>
            <w:vAlign w:val="center"/>
          </w:tcPr>
          <w:p>
            <w:pPr>
              <w:pStyle w:val="48"/>
              <w:overflowPunct w:val="0"/>
              <w:spacing w:line="440" w:lineRule="exact"/>
              <w:jc w:val="center"/>
              <w:rPr>
                <w:rFonts w:ascii="Times New Roman"/>
                <w:b/>
                <w:bCs/>
                <w:color w:val="auto"/>
              </w:rPr>
            </w:pPr>
          </w:p>
        </w:tc>
        <w:tc>
          <w:tcPr>
            <w:tcW w:w="1463" w:type="dxa"/>
            <w:noWrap w:val="0"/>
            <w:vAlign w:val="center"/>
          </w:tcPr>
          <w:p>
            <w:pPr>
              <w:pStyle w:val="48"/>
              <w:overflowPunct w:val="0"/>
              <w:spacing w:line="440" w:lineRule="exact"/>
              <w:jc w:val="center"/>
              <w:rPr>
                <w:rFonts w:hint="eastAsia" w:ascii="Times New Roman" w:eastAsia="方正黑体_GBK"/>
                <w:bCs/>
                <w:color w:val="auto"/>
              </w:rPr>
            </w:pPr>
            <w:r>
              <w:rPr>
                <w:rFonts w:hint="eastAsia" w:ascii="Times New Roman" w:eastAsia="方正黑体_GBK"/>
                <w:bCs/>
                <w:color w:val="auto"/>
              </w:rPr>
              <w:t>其中：耕地</w:t>
            </w:r>
          </w:p>
        </w:tc>
        <w:tc>
          <w:tcPr>
            <w:tcW w:w="1218" w:type="dxa"/>
            <w:vMerge w:val="continue"/>
            <w:noWrap w:val="0"/>
            <w:vAlign w:val="center"/>
          </w:tcPr>
          <w:p>
            <w:pPr>
              <w:pStyle w:val="48"/>
              <w:overflowPunct w:val="0"/>
              <w:spacing w:line="440" w:lineRule="exact"/>
              <w:jc w:val="center"/>
              <w:rPr>
                <w:rFonts w:ascii="Times New Roman"/>
                <w:b/>
                <w:bCs/>
                <w:color w:val="auto"/>
              </w:rPr>
            </w:pPr>
          </w:p>
        </w:tc>
        <w:tc>
          <w:tcPr>
            <w:tcW w:w="1313" w:type="dxa"/>
            <w:vMerge w:val="continue"/>
            <w:noWrap w:val="0"/>
            <w:vAlign w:val="center"/>
          </w:tcPr>
          <w:p>
            <w:pPr>
              <w:pStyle w:val="48"/>
              <w:overflowPunct w:val="0"/>
              <w:spacing w:line="440" w:lineRule="exact"/>
              <w:jc w:val="center"/>
              <w:rPr>
                <w:rFonts w:ascii="Times New Roman"/>
                <w:b/>
                <w:bCs/>
                <w:color w:val="auto"/>
              </w:rPr>
            </w:pPr>
          </w:p>
        </w:tc>
        <w:tc>
          <w:tcPr>
            <w:tcW w:w="1133" w:type="dxa"/>
            <w:vMerge w:val="continue"/>
            <w:noWrap w:val="0"/>
            <w:vAlign w:val="center"/>
          </w:tcPr>
          <w:p>
            <w:pPr>
              <w:pStyle w:val="48"/>
              <w:overflowPunct w:val="0"/>
              <w:spacing w:line="440" w:lineRule="exact"/>
              <w:jc w:val="center"/>
              <w:rPr>
                <w:rFonts w:ascii="Times New Roman"/>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620" w:type="dxa"/>
            <w:noWrap w:val="0"/>
            <w:vAlign w:val="center"/>
          </w:tcPr>
          <w:p>
            <w:pPr>
              <w:pStyle w:val="48"/>
              <w:overflowPunct w:val="0"/>
              <w:spacing w:line="400" w:lineRule="exact"/>
              <w:jc w:val="center"/>
              <w:rPr>
                <w:rFonts w:hint="eastAsia" w:ascii="Times New Roman" w:eastAsia="方正仿宋_GBK"/>
                <w:color w:val="auto"/>
                <w:lang w:eastAsia="zh-CN"/>
              </w:rPr>
            </w:pPr>
            <w:r>
              <w:rPr>
                <w:rFonts w:hint="eastAsia" w:ascii="Times New Roman"/>
                <w:color w:val="auto"/>
                <w:kern w:val="2"/>
                <w:lang w:eastAsia="zh-CN"/>
              </w:rPr>
              <w:t>宁河街道白鹅社区1组</w:t>
            </w:r>
          </w:p>
        </w:tc>
        <w:tc>
          <w:tcPr>
            <w:tcW w:w="1557" w:type="dxa"/>
            <w:noWrap w:val="0"/>
            <w:vAlign w:val="center"/>
          </w:tcPr>
          <w:p>
            <w:pPr>
              <w:pStyle w:val="48"/>
              <w:jc w:val="center"/>
              <w:rPr>
                <w:rFonts w:hint="eastAsia" w:ascii="Times New Roman" w:hAnsi="Times New Roman" w:cs="方正仿宋_GBK"/>
                <w:color w:val="000000"/>
                <w:szCs w:val="32"/>
                <w:lang w:bidi="ar"/>
              </w:rPr>
            </w:pPr>
            <w:r>
              <w:rPr>
                <w:rFonts w:hint="eastAsia" w:ascii="Times New Roman" w:hAnsi="Times New Roman" w:cs="方正仿宋_GBK"/>
                <w:i w:val="0"/>
                <w:color w:val="000000"/>
                <w:kern w:val="0"/>
                <w:sz w:val="24"/>
                <w:szCs w:val="32"/>
                <w:u w:val="none"/>
                <w:lang w:val="en-US" w:eastAsia="zh-CN" w:bidi="ar"/>
              </w:rPr>
              <w:t>236.61</w:t>
            </w:r>
          </w:p>
        </w:tc>
        <w:tc>
          <w:tcPr>
            <w:tcW w:w="1218" w:type="dxa"/>
            <w:noWrap w:val="0"/>
            <w:vAlign w:val="center"/>
          </w:tcPr>
          <w:p>
            <w:pPr>
              <w:pStyle w:val="48"/>
              <w:jc w:val="center"/>
              <w:rPr>
                <w:rFonts w:hint="default" w:ascii="Times New Roman" w:hAnsi="Times New Roman" w:cs="方正仿宋_GBK"/>
                <w:color w:val="000000"/>
                <w:szCs w:val="32"/>
                <w:lang w:bidi="ar"/>
              </w:rPr>
            </w:pPr>
            <w:r>
              <w:rPr>
                <w:rFonts w:hint="eastAsia" w:ascii="Times New Roman" w:hAnsi="Times New Roman" w:cs="方正仿宋_GBK"/>
                <w:i w:val="0"/>
                <w:color w:val="000000"/>
                <w:kern w:val="0"/>
                <w:sz w:val="24"/>
                <w:szCs w:val="32"/>
                <w:u w:val="none"/>
                <w:lang w:val="en-US" w:eastAsia="zh-CN" w:bidi="ar"/>
              </w:rPr>
              <w:t>10.2</w:t>
            </w:r>
          </w:p>
        </w:tc>
        <w:tc>
          <w:tcPr>
            <w:tcW w:w="1200" w:type="dxa"/>
            <w:noWrap w:val="0"/>
            <w:vAlign w:val="center"/>
          </w:tcPr>
          <w:p>
            <w:pPr>
              <w:pStyle w:val="48"/>
              <w:overflowPunct w:val="0"/>
              <w:spacing w:line="400" w:lineRule="exact"/>
              <w:jc w:val="center"/>
              <w:rPr>
                <w:rFonts w:hint="eastAsia" w:ascii="Times New Roman" w:hAnsi="Times New Roman" w:cs="Times New Roman"/>
                <w:color w:val="auto"/>
                <w:lang w:bidi="ar"/>
              </w:rPr>
            </w:pPr>
            <w:r>
              <w:rPr>
                <w:rFonts w:hint="eastAsia" w:ascii="Times New Roman"/>
                <w:color w:val="auto"/>
                <w:kern w:val="0"/>
                <w:szCs w:val="32"/>
                <w:lang w:val="en-US" w:eastAsia="zh-CN"/>
              </w:rPr>
              <w:t>0.0179</w:t>
            </w:r>
          </w:p>
        </w:tc>
        <w:tc>
          <w:tcPr>
            <w:tcW w:w="1144" w:type="dxa"/>
            <w:noWrap w:val="0"/>
            <w:vAlign w:val="center"/>
          </w:tcPr>
          <w:p>
            <w:pPr>
              <w:pStyle w:val="48"/>
              <w:overflowPunct w:val="0"/>
              <w:spacing w:line="400" w:lineRule="exact"/>
              <w:jc w:val="center"/>
              <w:rPr>
                <w:rFonts w:hint="default" w:ascii="Times New Roman" w:hAnsi="Times New Roman" w:eastAsia="方正仿宋_GBK" w:cs="Times New Roman"/>
                <w:color w:val="auto"/>
                <w:lang w:val="en-US" w:eastAsia="zh-CN" w:bidi="ar"/>
              </w:rPr>
            </w:pPr>
            <w:r>
              <w:rPr>
                <w:rFonts w:hint="eastAsia" w:ascii="Times New Roman"/>
                <w:color w:val="auto"/>
                <w:kern w:val="0"/>
                <w:szCs w:val="32"/>
                <w:lang w:val="en-US" w:eastAsia="zh-CN"/>
              </w:rPr>
              <w:t>0.0179</w:t>
            </w:r>
          </w:p>
        </w:tc>
        <w:tc>
          <w:tcPr>
            <w:tcW w:w="1463" w:type="dxa"/>
            <w:noWrap w:val="0"/>
            <w:vAlign w:val="center"/>
          </w:tcPr>
          <w:p>
            <w:pPr>
              <w:pStyle w:val="48"/>
              <w:overflowPunct w:val="0"/>
              <w:spacing w:line="400" w:lineRule="exact"/>
              <w:jc w:val="center"/>
              <w:rPr>
                <w:rFonts w:hint="eastAsia" w:ascii="Times New Roman" w:hAnsi="Times New Roman" w:eastAsia="方正仿宋_GBK" w:cs="Times New Roman"/>
                <w:color w:val="auto"/>
                <w:lang w:eastAsia="zh-CN" w:bidi="ar"/>
              </w:rPr>
            </w:pPr>
            <w:r>
              <w:rPr>
                <w:rFonts w:hint="eastAsia" w:ascii="Times New Roman"/>
                <w:color w:val="auto"/>
                <w:kern w:val="0"/>
                <w:szCs w:val="32"/>
                <w:lang w:val="en-US" w:eastAsia="zh-CN"/>
              </w:rPr>
              <w:t>0</w:t>
            </w:r>
          </w:p>
        </w:tc>
        <w:tc>
          <w:tcPr>
            <w:tcW w:w="1218" w:type="dxa"/>
            <w:noWrap w:val="0"/>
            <w:vAlign w:val="center"/>
          </w:tcPr>
          <w:p>
            <w:pPr>
              <w:pStyle w:val="48"/>
              <w:overflowPunct w:val="0"/>
              <w:spacing w:line="400" w:lineRule="exact"/>
              <w:jc w:val="center"/>
              <w:rPr>
                <w:rFonts w:hint="eastAsia" w:ascii="Times New Roman" w:hAnsi="Times New Roman" w:cs="Times New Roman"/>
                <w:color w:val="auto"/>
                <w:lang w:bidi="ar"/>
              </w:rPr>
            </w:pPr>
            <w:r>
              <w:rPr>
                <w:rFonts w:hint="eastAsia" w:ascii="Times New Roman" w:hAnsi="Times New Roman" w:cs="Times New Roman"/>
                <w:i w:val="0"/>
                <w:color w:val="auto"/>
                <w:kern w:val="0"/>
                <w:sz w:val="24"/>
                <w:szCs w:val="24"/>
                <w:u w:val="none"/>
                <w:lang w:val="en-US" w:eastAsia="zh-CN" w:bidi="ar"/>
              </w:rPr>
              <w:t>0</w:t>
            </w:r>
          </w:p>
        </w:tc>
        <w:tc>
          <w:tcPr>
            <w:tcW w:w="1313" w:type="dxa"/>
            <w:noWrap w:val="0"/>
            <w:vAlign w:val="center"/>
          </w:tcPr>
          <w:p>
            <w:pPr>
              <w:pStyle w:val="48"/>
              <w:overflowPunct w:val="0"/>
              <w:spacing w:line="400" w:lineRule="exact"/>
              <w:jc w:val="center"/>
              <w:rPr>
                <w:rFonts w:hint="eastAsia" w:ascii="Times New Roman" w:hAnsi="Times New Roman" w:cs="Times New Roman"/>
                <w:color w:val="auto"/>
                <w:lang w:bidi="ar"/>
              </w:rPr>
            </w:pPr>
            <w:r>
              <w:rPr>
                <w:rFonts w:hint="eastAsia" w:ascii="Times New Roman" w:hAnsi="Times New Roman" w:eastAsia="方正仿宋_GBK" w:cs="Times New Roman"/>
                <w:i w:val="0"/>
                <w:color w:val="auto"/>
                <w:kern w:val="0"/>
                <w:sz w:val="24"/>
                <w:szCs w:val="24"/>
                <w:u w:val="none"/>
                <w:lang w:val="en-US" w:eastAsia="zh-CN" w:bidi="ar"/>
              </w:rPr>
              <w:t>0</w:t>
            </w:r>
          </w:p>
        </w:tc>
        <w:tc>
          <w:tcPr>
            <w:tcW w:w="1133" w:type="dxa"/>
            <w:noWrap w:val="0"/>
            <w:vAlign w:val="center"/>
          </w:tcPr>
          <w:p>
            <w:pPr>
              <w:pStyle w:val="48"/>
              <w:overflowPunct w:val="0"/>
              <w:spacing w:line="400" w:lineRule="exact"/>
              <w:jc w:val="center"/>
              <w:rPr>
                <w:rFonts w:hint="eastAsia" w:ascii="Times New Roman" w:hAnsi="Times New Roman" w:eastAsia="方正仿宋_GBK" w:cs="Times New Roman"/>
                <w:color w:val="auto"/>
                <w:lang w:val="en-US" w:eastAsia="zh-CN" w:bidi="ar"/>
              </w:rPr>
            </w:pPr>
            <w:r>
              <w:rPr>
                <w:rFonts w:hint="eastAsia" w:ascii="Times New Roman" w:hAnsi="Times New Roman" w:cs="Times New Roman"/>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620" w:type="dxa"/>
            <w:noWrap w:val="0"/>
            <w:vAlign w:val="center"/>
          </w:tcPr>
          <w:p>
            <w:pPr>
              <w:pStyle w:val="48"/>
              <w:overflowPunct w:val="0"/>
              <w:spacing w:line="400" w:lineRule="exact"/>
              <w:jc w:val="center"/>
              <w:rPr>
                <w:rFonts w:hint="eastAsia" w:ascii="Times New Roman" w:eastAsia="方正仿宋_GBK"/>
                <w:color w:val="auto"/>
                <w:sz w:val="24"/>
                <w:szCs w:val="24"/>
                <w:lang w:val="en-US" w:eastAsia="zh-CN" w:bidi="ar-SA"/>
              </w:rPr>
            </w:pPr>
            <w:r>
              <w:rPr>
                <w:rFonts w:hint="eastAsia" w:ascii="Times New Roman"/>
                <w:color w:val="auto"/>
                <w:kern w:val="2"/>
                <w:lang w:eastAsia="zh-CN"/>
              </w:rPr>
              <w:t>宁河街道九磷社区</w:t>
            </w:r>
          </w:p>
        </w:tc>
        <w:tc>
          <w:tcPr>
            <w:tcW w:w="1557" w:type="dxa"/>
            <w:noWrap w:val="0"/>
            <w:vAlign w:val="center"/>
          </w:tcPr>
          <w:p>
            <w:pPr>
              <w:pStyle w:val="48"/>
              <w:overflowPunct w:val="0"/>
              <w:spacing w:line="400" w:lineRule="exact"/>
              <w:jc w:val="center"/>
              <w:rPr>
                <w:rFonts w:hint="default" w:ascii="Times New Roman" w:hAnsi="Times New Roman" w:cs="方正仿宋_GBK"/>
                <w:color w:val="000000"/>
                <w:szCs w:val="32"/>
                <w:lang w:bidi="ar"/>
              </w:rPr>
            </w:pPr>
            <w:r>
              <w:rPr>
                <w:rFonts w:hint="eastAsia" w:ascii="Times New Roman" w:hAnsi="Times New Roman" w:cs="方正仿宋_GBK"/>
                <w:i w:val="0"/>
                <w:color w:val="000000"/>
                <w:kern w:val="0"/>
                <w:sz w:val="24"/>
                <w:szCs w:val="32"/>
                <w:u w:val="none"/>
                <w:lang w:val="en-US" w:eastAsia="zh-CN" w:bidi="ar"/>
              </w:rPr>
              <w:t>6.41</w:t>
            </w:r>
          </w:p>
        </w:tc>
        <w:tc>
          <w:tcPr>
            <w:tcW w:w="1218" w:type="dxa"/>
            <w:noWrap w:val="0"/>
            <w:vAlign w:val="center"/>
          </w:tcPr>
          <w:p>
            <w:pPr>
              <w:pStyle w:val="48"/>
              <w:overflowPunct w:val="0"/>
              <w:spacing w:line="400" w:lineRule="exact"/>
              <w:jc w:val="center"/>
              <w:rPr>
                <w:rFonts w:hint="default" w:ascii="Times New Roman" w:hAnsi="Times New Roman" w:cs="方正仿宋_GBK"/>
                <w:color w:val="000000"/>
                <w:szCs w:val="32"/>
                <w:lang w:bidi="ar"/>
              </w:rPr>
            </w:pPr>
            <w:r>
              <w:rPr>
                <w:rFonts w:hint="eastAsia" w:ascii="Times New Roman" w:hAnsi="Times New Roman" w:cs="方正仿宋_GBK"/>
                <w:i w:val="0"/>
                <w:color w:val="000000"/>
                <w:kern w:val="0"/>
                <w:sz w:val="24"/>
                <w:szCs w:val="32"/>
                <w:u w:val="none"/>
                <w:lang w:val="en-US" w:eastAsia="zh-CN" w:bidi="ar"/>
              </w:rPr>
              <w:t>0.63</w:t>
            </w:r>
          </w:p>
        </w:tc>
        <w:tc>
          <w:tcPr>
            <w:tcW w:w="1200" w:type="dxa"/>
            <w:noWrap w:val="0"/>
            <w:vAlign w:val="center"/>
          </w:tcPr>
          <w:p>
            <w:pPr>
              <w:pStyle w:val="48"/>
              <w:overflowPunct w:val="0"/>
              <w:spacing w:line="400" w:lineRule="exact"/>
              <w:jc w:val="center"/>
              <w:rPr>
                <w:rFonts w:hint="default" w:ascii="Times New Roman" w:hAnsi="Times New Roman" w:cs="Times New Roman"/>
                <w:color w:val="auto"/>
                <w:szCs w:val="24"/>
                <w:lang w:bidi="ar"/>
              </w:rPr>
            </w:pPr>
            <w:r>
              <w:rPr>
                <w:rFonts w:hint="eastAsia" w:ascii="Times New Roman"/>
                <w:color w:val="auto"/>
                <w:kern w:val="0"/>
                <w:szCs w:val="32"/>
                <w:lang w:val="en-US" w:eastAsia="zh-CN"/>
              </w:rPr>
              <w:t>0.0486</w:t>
            </w:r>
          </w:p>
        </w:tc>
        <w:tc>
          <w:tcPr>
            <w:tcW w:w="1144" w:type="dxa"/>
            <w:noWrap w:val="0"/>
            <w:vAlign w:val="center"/>
          </w:tcPr>
          <w:p>
            <w:pPr>
              <w:pStyle w:val="48"/>
              <w:overflowPunct w:val="0"/>
              <w:spacing w:line="400" w:lineRule="exact"/>
              <w:jc w:val="center"/>
              <w:rPr>
                <w:rFonts w:hint="default" w:ascii="Times New Roman" w:hAnsi="Times New Roman" w:cs="Times New Roman"/>
                <w:color w:val="auto"/>
                <w:szCs w:val="24"/>
                <w:lang w:bidi="ar"/>
              </w:rPr>
            </w:pPr>
            <w:r>
              <w:rPr>
                <w:rFonts w:hint="eastAsia" w:ascii="Times New Roman"/>
                <w:color w:val="auto"/>
                <w:kern w:val="0"/>
                <w:szCs w:val="32"/>
                <w:lang w:val="en-US" w:eastAsia="zh-CN"/>
              </w:rPr>
              <w:t>0.0486</w:t>
            </w:r>
          </w:p>
        </w:tc>
        <w:tc>
          <w:tcPr>
            <w:tcW w:w="1463" w:type="dxa"/>
            <w:noWrap w:val="0"/>
            <w:vAlign w:val="center"/>
          </w:tcPr>
          <w:p>
            <w:pPr>
              <w:pStyle w:val="48"/>
              <w:overflowPunct w:val="0"/>
              <w:spacing w:line="400" w:lineRule="exact"/>
              <w:jc w:val="center"/>
              <w:rPr>
                <w:rFonts w:hint="eastAsia" w:ascii="Times New Roman" w:hAnsi="Times New Roman" w:cs="Times New Roman"/>
                <w:color w:val="auto"/>
                <w:szCs w:val="24"/>
                <w:lang w:bidi="ar"/>
              </w:rPr>
            </w:pPr>
            <w:r>
              <w:rPr>
                <w:rFonts w:hint="eastAsia" w:ascii="Times New Roman"/>
                <w:color w:val="auto"/>
                <w:kern w:val="0"/>
                <w:szCs w:val="32"/>
                <w:lang w:val="en-US" w:eastAsia="zh-CN"/>
              </w:rPr>
              <w:t>0</w:t>
            </w:r>
          </w:p>
        </w:tc>
        <w:tc>
          <w:tcPr>
            <w:tcW w:w="1218" w:type="dxa"/>
            <w:noWrap w:val="0"/>
            <w:vAlign w:val="center"/>
          </w:tcPr>
          <w:p>
            <w:pPr>
              <w:pStyle w:val="48"/>
              <w:overflowPunct w:val="0"/>
              <w:spacing w:line="400" w:lineRule="exact"/>
              <w:jc w:val="center"/>
              <w:rPr>
                <w:rFonts w:hint="default" w:ascii="Times New Roman" w:hAnsi="Times New Roman" w:cs="Times New Roman"/>
                <w:color w:val="auto"/>
                <w:szCs w:val="24"/>
                <w:lang w:bidi="ar"/>
              </w:rPr>
            </w:pPr>
            <w:r>
              <w:rPr>
                <w:rFonts w:hint="eastAsia" w:ascii="Times New Roman" w:hAnsi="Times New Roman" w:cs="Times New Roman"/>
                <w:i w:val="0"/>
                <w:color w:val="auto"/>
                <w:kern w:val="0"/>
                <w:sz w:val="24"/>
                <w:szCs w:val="24"/>
                <w:u w:val="none"/>
                <w:lang w:val="en-US" w:eastAsia="zh-CN" w:bidi="ar"/>
              </w:rPr>
              <w:t>0.0376</w:t>
            </w:r>
          </w:p>
        </w:tc>
        <w:tc>
          <w:tcPr>
            <w:tcW w:w="1313" w:type="dxa"/>
            <w:noWrap w:val="0"/>
            <w:vAlign w:val="center"/>
          </w:tcPr>
          <w:p>
            <w:pPr>
              <w:pStyle w:val="48"/>
              <w:overflowPunct w:val="0"/>
              <w:spacing w:line="400" w:lineRule="exact"/>
              <w:jc w:val="center"/>
              <w:rPr>
                <w:rFonts w:hint="default" w:ascii="Times New Roman" w:hAnsi="Times New Roman" w:cs="Times New Roman"/>
                <w:color w:val="auto"/>
                <w:szCs w:val="24"/>
                <w:lang w:bidi="ar"/>
              </w:rPr>
            </w:pPr>
            <w:r>
              <w:rPr>
                <w:rFonts w:hint="eastAsia" w:ascii="Times New Roman" w:hAnsi="Times New Roman" w:cs="Times New Roman"/>
                <w:i w:val="0"/>
                <w:color w:val="auto"/>
                <w:kern w:val="0"/>
                <w:sz w:val="24"/>
                <w:szCs w:val="24"/>
                <w:u w:val="none"/>
                <w:lang w:val="en-US" w:eastAsia="zh-CN" w:bidi="ar"/>
              </w:rPr>
              <w:t>0.0110</w:t>
            </w:r>
          </w:p>
        </w:tc>
        <w:tc>
          <w:tcPr>
            <w:tcW w:w="1133" w:type="dxa"/>
            <w:noWrap w:val="0"/>
            <w:vAlign w:val="center"/>
          </w:tcPr>
          <w:p>
            <w:pPr>
              <w:pStyle w:val="48"/>
              <w:overflowPunct w:val="0"/>
              <w:spacing w:line="400" w:lineRule="exact"/>
              <w:jc w:val="center"/>
              <w:rPr>
                <w:rFonts w:hint="eastAsia" w:ascii="Times New Roman" w:hAnsi="Times New Roman" w:cs="Times New Roman"/>
                <w:color w:val="auto"/>
                <w:szCs w:val="24"/>
                <w:lang w:val="en-US" w:bidi="ar"/>
              </w:rPr>
            </w:pPr>
            <w:r>
              <w:rPr>
                <w:rFonts w:hint="eastAsia" w:ascii="Times New Roman" w:hAnsi="Times New Roman" w:cs="Times New Roman"/>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620" w:type="dxa"/>
            <w:noWrap w:val="0"/>
            <w:vAlign w:val="center"/>
          </w:tcPr>
          <w:p>
            <w:pPr>
              <w:pStyle w:val="48"/>
              <w:overflowPunct w:val="0"/>
              <w:jc w:val="center"/>
              <w:rPr>
                <w:rFonts w:ascii="Times New Roman" w:eastAsia="方正仿宋_GBK"/>
                <w:color w:val="auto"/>
                <w:sz w:val="24"/>
                <w:szCs w:val="24"/>
                <w:lang w:val="en-US" w:eastAsia="zh-CN" w:bidi="ar-SA"/>
              </w:rPr>
            </w:pPr>
            <w:r>
              <w:rPr>
                <w:rFonts w:ascii="Times New Roman"/>
                <w:color w:val="auto"/>
              </w:rPr>
              <w:t>合计</w:t>
            </w:r>
          </w:p>
        </w:tc>
        <w:tc>
          <w:tcPr>
            <w:tcW w:w="1557" w:type="dxa"/>
            <w:noWrap w:val="0"/>
            <w:vAlign w:val="center"/>
          </w:tcPr>
          <w:p>
            <w:pPr>
              <w:pStyle w:val="48"/>
              <w:keepNext w:val="0"/>
              <w:keepLines w:val="0"/>
              <w:widowControl/>
              <w:suppressLineNumbers w:val="0"/>
              <w:overflowPunct w:val="0"/>
              <w:spacing w:line="400" w:lineRule="exact"/>
              <w:jc w:val="center"/>
              <w:textAlignment w:val="center"/>
              <w:rPr>
                <w:rFonts w:hint="default" w:ascii="Times New Roman" w:hAnsi="Times New Roman" w:eastAsia="方正仿宋_GBK" w:cs="方正仿宋_GBK"/>
                <w:color w:val="000000"/>
                <w:sz w:val="24"/>
                <w:szCs w:val="32"/>
                <w:lang w:val="en-US" w:eastAsia="zh-CN" w:bidi="ar-SA"/>
              </w:rPr>
            </w:pPr>
            <w:r>
              <w:rPr>
                <w:rFonts w:hint="eastAsia" w:ascii="Times New Roman" w:hAnsi="Times New Roman" w:cs="方正仿宋_GBK"/>
                <w:i w:val="0"/>
                <w:color w:val="000000"/>
                <w:kern w:val="0"/>
                <w:sz w:val="24"/>
                <w:szCs w:val="32"/>
                <w:u w:val="none"/>
                <w:lang w:val="en-US" w:eastAsia="zh-CN" w:bidi="ar"/>
              </w:rPr>
              <w:t>243.02</w:t>
            </w:r>
          </w:p>
        </w:tc>
        <w:tc>
          <w:tcPr>
            <w:tcW w:w="1218" w:type="dxa"/>
            <w:noWrap w:val="0"/>
            <w:vAlign w:val="center"/>
          </w:tcPr>
          <w:p>
            <w:pPr>
              <w:pStyle w:val="48"/>
              <w:keepNext w:val="0"/>
              <w:keepLines w:val="0"/>
              <w:widowControl/>
              <w:suppressLineNumbers w:val="0"/>
              <w:overflowPunct w:val="0"/>
              <w:spacing w:line="400" w:lineRule="exact"/>
              <w:jc w:val="center"/>
              <w:textAlignment w:val="center"/>
              <w:rPr>
                <w:rFonts w:hint="default" w:ascii="Times New Roman" w:hAnsi="Times New Roman" w:eastAsia="方正仿宋_GBK" w:cs="方正仿宋_GBK"/>
                <w:color w:val="000000"/>
                <w:sz w:val="24"/>
                <w:szCs w:val="32"/>
                <w:lang w:val="en-US" w:eastAsia="zh-CN" w:bidi="ar-SA"/>
              </w:rPr>
            </w:pPr>
            <w:r>
              <w:rPr>
                <w:rFonts w:hint="eastAsia" w:ascii="Times New Roman" w:hAnsi="Times New Roman" w:cs="方正仿宋_GBK"/>
                <w:i w:val="0"/>
                <w:color w:val="000000"/>
                <w:kern w:val="0"/>
                <w:sz w:val="24"/>
                <w:szCs w:val="32"/>
                <w:u w:val="none"/>
                <w:lang w:val="en-US" w:eastAsia="zh-CN" w:bidi="ar"/>
              </w:rPr>
              <w:t>10.83</w:t>
            </w:r>
          </w:p>
        </w:tc>
        <w:tc>
          <w:tcPr>
            <w:tcW w:w="1200" w:type="dxa"/>
            <w:noWrap w:val="0"/>
            <w:vAlign w:val="center"/>
          </w:tcPr>
          <w:p>
            <w:pPr>
              <w:pStyle w:val="48"/>
              <w:keepNext w:val="0"/>
              <w:keepLines w:val="0"/>
              <w:widowControl/>
              <w:suppressLineNumbers w:val="0"/>
              <w:overflowPunct w:val="0"/>
              <w:spacing w:line="400" w:lineRule="exact"/>
              <w:jc w:val="center"/>
              <w:textAlignment w:val="center"/>
              <w:rPr>
                <w:rFonts w:hint="default" w:ascii="Times New Roman" w:hAnsi="Times New Roman" w:eastAsia="方正仿宋_GBK" w:cs="方正仿宋_GBK"/>
                <w:color w:val="000000"/>
                <w:sz w:val="24"/>
                <w:szCs w:val="32"/>
                <w:lang w:val="en-US" w:eastAsia="zh-CN" w:bidi="ar-SA"/>
              </w:rPr>
            </w:pPr>
            <w:r>
              <w:rPr>
                <w:rFonts w:hint="eastAsia" w:ascii="Times New Roman" w:hAnsi="Times New Roman" w:cs="方正仿宋_GBK"/>
                <w:i w:val="0"/>
                <w:color w:val="000000"/>
                <w:kern w:val="0"/>
                <w:sz w:val="24"/>
                <w:szCs w:val="32"/>
                <w:u w:val="none"/>
                <w:lang w:val="en-US" w:eastAsia="zh-CN" w:bidi="ar"/>
              </w:rPr>
              <w:t>0.0665</w:t>
            </w:r>
          </w:p>
        </w:tc>
        <w:tc>
          <w:tcPr>
            <w:tcW w:w="1144" w:type="dxa"/>
            <w:noWrap w:val="0"/>
            <w:vAlign w:val="center"/>
          </w:tcPr>
          <w:p>
            <w:pPr>
              <w:pStyle w:val="48"/>
              <w:keepNext w:val="0"/>
              <w:keepLines w:val="0"/>
              <w:widowControl/>
              <w:suppressLineNumbers w:val="0"/>
              <w:overflowPunct w:val="0"/>
              <w:spacing w:line="400" w:lineRule="exact"/>
              <w:jc w:val="center"/>
              <w:textAlignment w:val="center"/>
              <w:rPr>
                <w:rFonts w:hint="default" w:ascii="Times New Roman" w:hAnsi="Times New Roman" w:eastAsia="方正仿宋_GBK" w:cs="方正仿宋_GBK"/>
                <w:color w:val="000000"/>
                <w:sz w:val="24"/>
                <w:szCs w:val="32"/>
                <w:lang w:val="en-US" w:eastAsia="zh-CN" w:bidi="ar-SA"/>
              </w:rPr>
            </w:pPr>
            <w:r>
              <w:rPr>
                <w:rFonts w:hint="eastAsia" w:ascii="Times New Roman" w:hAnsi="Times New Roman" w:cs="方正仿宋_GBK"/>
                <w:i w:val="0"/>
                <w:color w:val="000000"/>
                <w:kern w:val="0"/>
                <w:sz w:val="24"/>
                <w:szCs w:val="32"/>
                <w:u w:val="none"/>
                <w:lang w:val="en-US" w:eastAsia="zh-CN" w:bidi="ar"/>
              </w:rPr>
              <w:t>0.0665</w:t>
            </w:r>
          </w:p>
        </w:tc>
        <w:tc>
          <w:tcPr>
            <w:tcW w:w="1463" w:type="dxa"/>
            <w:noWrap w:val="0"/>
            <w:vAlign w:val="center"/>
          </w:tcPr>
          <w:p>
            <w:pPr>
              <w:pStyle w:val="48"/>
              <w:keepNext w:val="0"/>
              <w:keepLines w:val="0"/>
              <w:widowControl/>
              <w:suppressLineNumbers w:val="0"/>
              <w:overflowPunct w:val="0"/>
              <w:spacing w:line="400" w:lineRule="exact"/>
              <w:jc w:val="center"/>
              <w:textAlignment w:val="center"/>
              <w:rPr>
                <w:rFonts w:hint="eastAsia" w:ascii="Times New Roman" w:hAnsi="Times New Roman" w:eastAsia="方正仿宋_GBK" w:cs="方正仿宋_GBK"/>
                <w:color w:val="000000"/>
                <w:sz w:val="24"/>
                <w:szCs w:val="32"/>
                <w:lang w:val="en-US" w:eastAsia="zh-CN" w:bidi="ar-SA"/>
              </w:rPr>
            </w:pPr>
            <w:r>
              <w:rPr>
                <w:rFonts w:hint="eastAsia" w:ascii="Times New Roman" w:hAnsi="Times New Roman" w:cs="方正仿宋_GBK"/>
                <w:i w:val="0"/>
                <w:color w:val="000000"/>
                <w:kern w:val="0"/>
                <w:sz w:val="24"/>
                <w:szCs w:val="32"/>
                <w:u w:val="none"/>
                <w:lang w:val="en-US" w:eastAsia="zh-CN" w:bidi="ar"/>
              </w:rPr>
              <w:t>0</w:t>
            </w:r>
          </w:p>
        </w:tc>
        <w:tc>
          <w:tcPr>
            <w:tcW w:w="1218" w:type="dxa"/>
            <w:noWrap w:val="0"/>
            <w:vAlign w:val="center"/>
          </w:tcPr>
          <w:p>
            <w:pPr>
              <w:pStyle w:val="48"/>
              <w:keepNext w:val="0"/>
              <w:keepLines w:val="0"/>
              <w:widowControl/>
              <w:suppressLineNumbers w:val="0"/>
              <w:overflowPunct w:val="0"/>
              <w:spacing w:line="400" w:lineRule="exact"/>
              <w:jc w:val="center"/>
              <w:textAlignment w:val="center"/>
              <w:rPr>
                <w:rFonts w:hint="default" w:ascii="Times New Roman" w:hAnsi="Times New Roman" w:eastAsia="方正仿宋_GBK" w:cs="方正仿宋_GBK"/>
                <w:color w:val="000000"/>
                <w:sz w:val="24"/>
                <w:szCs w:val="32"/>
                <w:lang w:val="en-US" w:eastAsia="zh-CN" w:bidi="ar-SA"/>
              </w:rPr>
            </w:pPr>
            <w:r>
              <w:rPr>
                <w:rFonts w:hint="eastAsia" w:ascii="Times New Roman" w:hAnsi="Times New Roman" w:eastAsia="方正仿宋_GBK" w:cs="方正仿宋_GBK"/>
                <w:i w:val="0"/>
                <w:color w:val="000000"/>
                <w:kern w:val="0"/>
                <w:sz w:val="24"/>
                <w:szCs w:val="32"/>
                <w:u w:val="none"/>
                <w:lang w:val="en-US" w:eastAsia="zh-CN" w:bidi="ar"/>
              </w:rPr>
              <w:t>0</w:t>
            </w:r>
            <w:r>
              <w:rPr>
                <w:rFonts w:hint="eastAsia" w:ascii="Times New Roman" w:hAnsi="Times New Roman" w:cs="方正仿宋_GBK"/>
                <w:i w:val="0"/>
                <w:color w:val="000000"/>
                <w:kern w:val="0"/>
                <w:sz w:val="24"/>
                <w:szCs w:val="32"/>
                <w:u w:val="none"/>
                <w:lang w:val="en-US" w:eastAsia="zh-CN" w:bidi="ar"/>
              </w:rPr>
              <w:t>.0376</w:t>
            </w:r>
          </w:p>
        </w:tc>
        <w:tc>
          <w:tcPr>
            <w:tcW w:w="1313" w:type="dxa"/>
            <w:noWrap w:val="0"/>
            <w:vAlign w:val="center"/>
          </w:tcPr>
          <w:p>
            <w:pPr>
              <w:pStyle w:val="48"/>
              <w:keepNext w:val="0"/>
              <w:keepLines w:val="0"/>
              <w:widowControl/>
              <w:suppressLineNumbers w:val="0"/>
              <w:overflowPunct w:val="0"/>
              <w:spacing w:line="400" w:lineRule="exact"/>
              <w:jc w:val="center"/>
              <w:textAlignment w:val="center"/>
              <w:rPr>
                <w:rFonts w:hint="default" w:ascii="Times New Roman" w:hAnsi="Times New Roman" w:eastAsia="方正仿宋_GBK" w:cs="方正仿宋_GBK"/>
                <w:color w:val="000000"/>
                <w:sz w:val="24"/>
                <w:szCs w:val="32"/>
                <w:lang w:val="en-US" w:eastAsia="zh-CN" w:bidi="ar-SA"/>
              </w:rPr>
            </w:pPr>
            <w:r>
              <w:rPr>
                <w:rFonts w:hint="eastAsia" w:ascii="Times New Roman" w:hAnsi="Times New Roman" w:eastAsia="方正仿宋_GBK" w:cs="方正仿宋_GBK"/>
                <w:i w:val="0"/>
                <w:color w:val="000000"/>
                <w:kern w:val="0"/>
                <w:sz w:val="24"/>
                <w:szCs w:val="32"/>
                <w:u w:val="none"/>
                <w:lang w:val="en-US" w:eastAsia="zh-CN" w:bidi="ar"/>
              </w:rPr>
              <w:t>0</w:t>
            </w:r>
            <w:r>
              <w:rPr>
                <w:rFonts w:hint="eastAsia" w:ascii="Times New Roman" w:hAnsi="Times New Roman" w:cs="方正仿宋_GBK"/>
                <w:i w:val="0"/>
                <w:color w:val="000000"/>
                <w:kern w:val="0"/>
                <w:sz w:val="24"/>
                <w:szCs w:val="32"/>
                <w:u w:val="none"/>
                <w:lang w:val="en-US" w:eastAsia="zh-CN" w:bidi="ar"/>
              </w:rPr>
              <w:t>.0110</w:t>
            </w:r>
          </w:p>
        </w:tc>
        <w:tc>
          <w:tcPr>
            <w:tcW w:w="1133" w:type="dxa"/>
            <w:noWrap w:val="0"/>
            <w:vAlign w:val="center"/>
          </w:tcPr>
          <w:p>
            <w:pPr>
              <w:pStyle w:val="48"/>
              <w:keepNext w:val="0"/>
              <w:keepLines w:val="0"/>
              <w:widowControl/>
              <w:suppressLineNumbers w:val="0"/>
              <w:overflowPunct w:val="0"/>
              <w:spacing w:line="400" w:lineRule="exact"/>
              <w:jc w:val="center"/>
              <w:textAlignment w:val="center"/>
              <w:rPr>
                <w:rFonts w:hint="eastAsia" w:ascii="Times New Roman" w:hAnsi="Times New Roman" w:eastAsia="方正仿宋_GBK" w:cs="方正仿宋_GBK"/>
                <w:color w:val="000000"/>
                <w:sz w:val="24"/>
                <w:szCs w:val="32"/>
                <w:lang w:val="en-US" w:eastAsia="zh-CN" w:bidi="ar-SA"/>
              </w:rPr>
            </w:pPr>
            <w:r>
              <w:rPr>
                <w:rFonts w:hint="eastAsia" w:ascii="Times New Roman" w:hAnsi="Times New Roman" w:cs="方正仿宋_GBK"/>
                <w:i w:val="0"/>
                <w:color w:val="000000"/>
                <w:kern w:val="0"/>
                <w:sz w:val="24"/>
                <w:szCs w:val="32"/>
                <w:u w:val="none"/>
                <w:lang w:val="en-US" w:eastAsia="zh-CN" w:bidi="ar"/>
              </w:rPr>
              <w:t>2</w:t>
            </w:r>
          </w:p>
        </w:tc>
      </w:tr>
    </w:tbl>
    <w:p>
      <w:pPr>
        <w:spacing w:line="570" w:lineRule="exact"/>
        <w:jc w:val="center"/>
        <w:rPr>
          <w:rFonts w:hint="eastAsia" w:eastAsia="方正小标宋_GBK"/>
          <w:color w:val="auto"/>
          <w:kern w:val="0"/>
          <w:sz w:val="44"/>
          <w:szCs w:val="44"/>
        </w:rPr>
      </w:pPr>
    </w:p>
    <w:p>
      <w:pPr>
        <w:spacing w:line="570" w:lineRule="exact"/>
        <w:jc w:val="center"/>
        <w:rPr>
          <w:rFonts w:hint="eastAsia" w:eastAsia="方正小标宋_GBK"/>
          <w:color w:val="auto"/>
          <w:kern w:val="0"/>
          <w:sz w:val="44"/>
          <w:szCs w:val="44"/>
        </w:rPr>
      </w:pPr>
    </w:p>
    <w:p>
      <w:pPr>
        <w:spacing w:line="570" w:lineRule="exact"/>
        <w:jc w:val="center"/>
        <w:rPr>
          <w:rFonts w:hint="eastAsia" w:eastAsia="方正小标宋_GBK"/>
          <w:color w:val="auto"/>
          <w:kern w:val="0"/>
          <w:sz w:val="44"/>
          <w:szCs w:val="44"/>
        </w:rPr>
      </w:pPr>
    </w:p>
    <w:p>
      <w:pPr>
        <w:spacing w:line="570" w:lineRule="exact"/>
        <w:jc w:val="center"/>
        <w:rPr>
          <w:rFonts w:hint="eastAsia" w:eastAsia="方正小标宋_GBK"/>
          <w:color w:val="auto"/>
          <w:kern w:val="0"/>
          <w:sz w:val="44"/>
          <w:szCs w:val="44"/>
        </w:rPr>
      </w:pPr>
    </w:p>
    <w:p>
      <w:pPr>
        <w:overflowPunct w:val="0"/>
        <w:adjustRightInd w:val="0"/>
        <w:snapToGrid w:val="0"/>
        <w:spacing w:line="578" w:lineRule="exact"/>
        <w:jc w:val="left"/>
        <w:rPr>
          <w:rFonts w:hint="eastAsia" w:eastAsia="方正黑体_GBK"/>
          <w:color w:val="auto"/>
          <w:szCs w:val="32"/>
        </w:rPr>
      </w:pPr>
      <w:r>
        <w:rPr>
          <w:rFonts w:hint="eastAsia" w:eastAsia="方正黑体_GBK"/>
          <w:color w:val="auto"/>
          <w:szCs w:val="32"/>
        </w:rPr>
        <w:t>附件之</w:t>
      </w:r>
      <w:r>
        <w:rPr>
          <w:rFonts w:eastAsia="方正黑体_GBK"/>
          <w:color w:val="auto"/>
          <w:szCs w:val="32"/>
        </w:rPr>
        <w:t>附件</w:t>
      </w:r>
      <w:r>
        <w:rPr>
          <w:rFonts w:hint="eastAsia" w:eastAsia="方正黑体_GBK"/>
          <w:color w:val="auto"/>
          <w:szCs w:val="32"/>
        </w:rPr>
        <w:t>3</w:t>
      </w:r>
    </w:p>
    <w:p>
      <w:pPr>
        <w:pStyle w:val="48"/>
        <w:overflowPunct w:val="0"/>
        <w:spacing w:line="578" w:lineRule="exact"/>
        <w:rPr>
          <w:rFonts w:ascii="Times New Roman"/>
          <w:color w:val="auto"/>
        </w:rPr>
      </w:pPr>
    </w:p>
    <w:p>
      <w:pPr>
        <w:overflowPunct w:val="0"/>
        <w:adjustRightInd w:val="0"/>
        <w:snapToGrid w:val="0"/>
        <w:spacing w:line="578" w:lineRule="exact"/>
        <w:jc w:val="center"/>
        <w:rPr>
          <w:rFonts w:eastAsia="方正小标宋_GBK"/>
          <w:color w:val="auto"/>
          <w:szCs w:val="32"/>
        </w:rPr>
      </w:pPr>
      <w:r>
        <w:rPr>
          <w:rFonts w:eastAsia="方正小标宋_GBK"/>
          <w:color w:val="auto"/>
          <w:sz w:val="44"/>
          <w:szCs w:val="44"/>
        </w:rPr>
        <w:t>土地补偿费和安置补助费明细表</w:t>
      </w:r>
    </w:p>
    <w:p>
      <w:pPr>
        <w:spacing w:line="570" w:lineRule="exact"/>
        <w:jc w:val="center"/>
        <w:rPr>
          <w:rFonts w:hint="eastAsia" w:eastAsia="方正小标宋_GBK"/>
          <w:color w:val="auto"/>
          <w:kern w:val="0"/>
          <w:sz w:val="44"/>
          <w:szCs w:val="44"/>
        </w:rPr>
      </w:pPr>
      <w:r>
        <w:rPr>
          <w:rFonts w:hint="eastAsia"/>
          <w:color w:val="auto"/>
          <w:sz w:val="24"/>
        </w:rPr>
        <w:t xml:space="preserve">                                                           </w:t>
      </w:r>
      <w:r>
        <w:rPr>
          <w:color w:val="auto"/>
          <w:sz w:val="24"/>
        </w:rPr>
        <w:t>单位：亩、人、万元/亩、万元/人、万元</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992"/>
        <w:gridCol w:w="879"/>
        <w:gridCol w:w="978"/>
        <w:gridCol w:w="1069"/>
        <w:gridCol w:w="975"/>
        <w:gridCol w:w="956"/>
        <w:gridCol w:w="881"/>
        <w:gridCol w:w="925"/>
        <w:gridCol w:w="992"/>
        <w:gridCol w:w="992"/>
        <w:gridCol w:w="804"/>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384" w:type="dxa"/>
            <w:vMerge w:val="restart"/>
            <w:tcBorders>
              <w:top w:val="single" w:color="auto" w:sz="4" w:space="0"/>
              <w:bottom w:val="single" w:color="auto" w:sz="4" w:space="0"/>
            </w:tcBorders>
            <w:noWrap w:val="0"/>
            <w:vAlign w:val="center"/>
          </w:tcPr>
          <w:p>
            <w:pPr>
              <w:overflowPunct w:val="0"/>
              <w:spacing w:line="440" w:lineRule="exact"/>
              <w:jc w:val="center"/>
              <w:rPr>
                <w:rFonts w:hint="eastAsia" w:eastAsia="方正黑体_GBK"/>
                <w:color w:val="auto"/>
                <w:sz w:val="24"/>
              </w:rPr>
            </w:pPr>
            <w:r>
              <w:rPr>
                <w:rFonts w:hint="eastAsia" w:eastAsia="方正黑体_GBK"/>
                <w:color w:val="auto"/>
                <w:sz w:val="24"/>
              </w:rPr>
              <w:t>被征土地</w:t>
            </w:r>
          </w:p>
          <w:p>
            <w:pPr>
              <w:overflowPunct w:val="0"/>
              <w:spacing w:line="440" w:lineRule="exact"/>
              <w:jc w:val="center"/>
              <w:rPr>
                <w:rFonts w:hint="eastAsia" w:eastAsia="方正黑体_GBK"/>
                <w:color w:val="auto"/>
                <w:sz w:val="24"/>
              </w:rPr>
            </w:pPr>
            <w:r>
              <w:rPr>
                <w:rFonts w:hint="eastAsia" w:eastAsia="方正黑体_GBK"/>
                <w:color w:val="auto"/>
                <w:sz w:val="24"/>
              </w:rPr>
              <w:t>所有权人</w:t>
            </w:r>
          </w:p>
        </w:tc>
        <w:tc>
          <w:tcPr>
            <w:tcW w:w="992" w:type="dxa"/>
            <w:vMerge w:val="restart"/>
            <w:tcBorders>
              <w:top w:val="single" w:color="auto" w:sz="4" w:space="0"/>
              <w:bottom w:val="single" w:color="auto" w:sz="4" w:space="0"/>
            </w:tcBorders>
            <w:noWrap w:val="0"/>
            <w:vAlign w:val="center"/>
          </w:tcPr>
          <w:p>
            <w:pPr>
              <w:overflowPunct w:val="0"/>
              <w:spacing w:line="440" w:lineRule="exact"/>
              <w:jc w:val="center"/>
              <w:rPr>
                <w:rFonts w:hint="eastAsia" w:eastAsia="方正黑体_GBK"/>
                <w:color w:val="auto"/>
                <w:sz w:val="24"/>
              </w:rPr>
            </w:pPr>
            <w:r>
              <w:rPr>
                <w:rFonts w:hint="eastAsia" w:eastAsia="方正黑体_GBK"/>
                <w:color w:val="auto"/>
                <w:sz w:val="24"/>
              </w:rPr>
              <w:t>征地</w:t>
            </w:r>
          </w:p>
          <w:p>
            <w:pPr>
              <w:overflowPunct w:val="0"/>
              <w:spacing w:line="440" w:lineRule="exact"/>
              <w:jc w:val="center"/>
              <w:rPr>
                <w:rFonts w:hint="eastAsia" w:eastAsia="方正黑体_GBK"/>
                <w:color w:val="auto"/>
                <w:sz w:val="24"/>
              </w:rPr>
            </w:pPr>
            <w:r>
              <w:rPr>
                <w:rFonts w:hint="eastAsia" w:eastAsia="方正黑体_GBK"/>
                <w:color w:val="auto"/>
                <w:sz w:val="24"/>
              </w:rPr>
              <w:t>面积</w:t>
            </w:r>
          </w:p>
        </w:tc>
        <w:tc>
          <w:tcPr>
            <w:tcW w:w="879" w:type="dxa"/>
            <w:vMerge w:val="restart"/>
            <w:tcBorders>
              <w:top w:val="single" w:color="auto" w:sz="4" w:space="0"/>
              <w:bottom w:val="single" w:color="auto" w:sz="4" w:space="0"/>
            </w:tcBorders>
            <w:noWrap w:val="0"/>
            <w:vAlign w:val="center"/>
          </w:tcPr>
          <w:p>
            <w:pPr>
              <w:overflowPunct w:val="0"/>
              <w:spacing w:line="440" w:lineRule="exact"/>
              <w:jc w:val="center"/>
              <w:rPr>
                <w:rFonts w:hint="eastAsia" w:eastAsia="方正黑体_GBK"/>
                <w:color w:val="auto"/>
                <w:sz w:val="24"/>
              </w:rPr>
            </w:pPr>
            <w:r>
              <w:rPr>
                <w:rFonts w:hint="eastAsia" w:eastAsia="方正黑体_GBK"/>
                <w:color w:val="auto"/>
                <w:sz w:val="24"/>
              </w:rPr>
              <w:t>区片综合地价标准</w:t>
            </w:r>
          </w:p>
        </w:tc>
        <w:tc>
          <w:tcPr>
            <w:tcW w:w="978" w:type="dxa"/>
            <w:vMerge w:val="restart"/>
            <w:tcBorders>
              <w:top w:val="single" w:color="auto" w:sz="4" w:space="0"/>
            </w:tcBorders>
            <w:noWrap w:val="0"/>
            <w:vAlign w:val="center"/>
          </w:tcPr>
          <w:p>
            <w:pPr>
              <w:overflowPunct w:val="0"/>
              <w:spacing w:line="440" w:lineRule="exact"/>
              <w:jc w:val="center"/>
              <w:rPr>
                <w:rFonts w:hint="eastAsia" w:eastAsia="方正黑体_GBK"/>
                <w:color w:val="auto"/>
                <w:sz w:val="24"/>
              </w:rPr>
            </w:pPr>
            <w:r>
              <w:rPr>
                <w:rFonts w:hint="eastAsia" w:eastAsia="方正黑体_GBK"/>
                <w:color w:val="auto"/>
                <w:sz w:val="24"/>
              </w:rPr>
              <w:t>土地补偿费金额</w:t>
            </w:r>
          </w:p>
        </w:tc>
        <w:tc>
          <w:tcPr>
            <w:tcW w:w="7594" w:type="dxa"/>
            <w:gridSpan w:val="8"/>
            <w:tcBorders>
              <w:top w:val="single" w:color="auto" w:sz="4" w:space="0"/>
              <w:bottom w:val="single" w:color="auto" w:sz="4" w:space="0"/>
            </w:tcBorders>
            <w:noWrap w:val="0"/>
            <w:vAlign w:val="center"/>
          </w:tcPr>
          <w:p>
            <w:pPr>
              <w:overflowPunct w:val="0"/>
              <w:spacing w:line="440" w:lineRule="exact"/>
              <w:jc w:val="center"/>
              <w:rPr>
                <w:rFonts w:hint="eastAsia" w:eastAsia="方正黑体_GBK"/>
                <w:color w:val="auto"/>
                <w:sz w:val="24"/>
              </w:rPr>
            </w:pPr>
            <w:r>
              <w:rPr>
                <w:rFonts w:hint="eastAsia" w:eastAsia="方正黑体_GBK"/>
                <w:color w:val="auto"/>
                <w:sz w:val="24"/>
              </w:rPr>
              <w:t>安置补助费</w:t>
            </w:r>
          </w:p>
        </w:tc>
        <w:tc>
          <w:tcPr>
            <w:tcW w:w="897" w:type="dxa"/>
            <w:vMerge w:val="restart"/>
            <w:tcBorders>
              <w:top w:val="single" w:color="auto" w:sz="4" w:space="0"/>
              <w:bottom w:val="single" w:color="auto" w:sz="4" w:space="0"/>
            </w:tcBorders>
            <w:noWrap w:val="0"/>
            <w:vAlign w:val="center"/>
          </w:tcPr>
          <w:p>
            <w:pPr>
              <w:overflowPunct w:val="0"/>
              <w:spacing w:line="440" w:lineRule="exact"/>
              <w:jc w:val="center"/>
              <w:rPr>
                <w:rFonts w:hint="eastAsia" w:eastAsia="方正黑体_GBK"/>
                <w:color w:val="auto"/>
                <w:sz w:val="24"/>
              </w:rPr>
            </w:pPr>
            <w:r>
              <w:rPr>
                <w:rFonts w:hint="eastAsia" w:eastAsia="方正黑体_GBK"/>
                <w:color w:val="auto"/>
                <w:sz w:val="24"/>
              </w:rPr>
              <w:t>两费合计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84" w:type="dxa"/>
            <w:vMerge w:val="continue"/>
            <w:tcBorders>
              <w:top w:val="single" w:color="auto" w:sz="4" w:space="0"/>
              <w:bottom w:val="single" w:color="auto" w:sz="4" w:space="0"/>
            </w:tcBorders>
            <w:noWrap w:val="0"/>
            <w:vAlign w:val="center"/>
          </w:tcPr>
          <w:p>
            <w:pPr>
              <w:overflowPunct w:val="0"/>
              <w:spacing w:line="440" w:lineRule="exact"/>
              <w:jc w:val="center"/>
              <w:rPr>
                <w:color w:val="auto"/>
                <w:sz w:val="24"/>
              </w:rPr>
            </w:pPr>
          </w:p>
        </w:tc>
        <w:tc>
          <w:tcPr>
            <w:tcW w:w="992" w:type="dxa"/>
            <w:vMerge w:val="continue"/>
            <w:tcBorders>
              <w:top w:val="single" w:color="auto" w:sz="4" w:space="0"/>
              <w:bottom w:val="single" w:color="auto" w:sz="4" w:space="0"/>
            </w:tcBorders>
            <w:noWrap w:val="0"/>
            <w:vAlign w:val="center"/>
          </w:tcPr>
          <w:p>
            <w:pPr>
              <w:overflowPunct w:val="0"/>
              <w:spacing w:line="440" w:lineRule="exact"/>
              <w:jc w:val="center"/>
              <w:rPr>
                <w:color w:val="auto"/>
                <w:sz w:val="24"/>
              </w:rPr>
            </w:pPr>
          </w:p>
        </w:tc>
        <w:tc>
          <w:tcPr>
            <w:tcW w:w="879" w:type="dxa"/>
            <w:vMerge w:val="continue"/>
            <w:tcBorders>
              <w:top w:val="single" w:color="auto" w:sz="4" w:space="0"/>
              <w:bottom w:val="single" w:color="auto" w:sz="4" w:space="0"/>
            </w:tcBorders>
            <w:noWrap w:val="0"/>
            <w:vAlign w:val="center"/>
          </w:tcPr>
          <w:p>
            <w:pPr>
              <w:overflowPunct w:val="0"/>
              <w:spacing w:line="440" w:lineRule="exact"/>
              <w:jc w:val="center"/>
              <w:rPr>
                <w:color w:val="auto"/>
                <w:sz w:val="24"/>
              </w:rPr>
            </w:pPr>
          </w:p>
        </w:tc>
        <w:tc>
          <w:tcPr>
            <w:tcW w:w="978" w:type="dxa"/>
            <w:vMerge w:val="continue"/>
            <w:noWrap w:val="0"/>
            <w:vAlign w:val="center"/>
          </w:tcPr>
          <w:p>
            <w:pPr>
              <w:overflowPunct w:val="0"/>
              <w:spacing w:line="440" w:lineRule="exact"/>
              <w:jc w:val="center"/>
              <w:rPr>
                <w:color w:val="auto"/>
                <w:sz w:val="24"/>
              </w:rPr>
            </w:pPr>
          </w:p>
        </w:tc>
        <w:tc>
          <w:tcPr>
            <w:tcW w:w="3881" w:type="dxa"/>
            <w:gridSpan w:val="4"/>
            <w:tcBorders>
              <w:top w:val="single" w:color="auto" w:sz="4" w:space="0"/>
              <w:bottom w:val="single" w:color="auto" w:sz="4" w:space="0"/>
            </w:tcBorders>
            <w:noWrap w:val="0"/>
            <w:vAlign w:val="center"/>
          </w:tcPr>
          <w:p>
            <w:pPr>
              <w:overflowPunct w:val="0"/>
              <w:spacing w:line="440" w:lineRule="exact"/>
              <w:jc w:val="center"/>
              <w:rPr>
                <w:rFonts w:hint="eastAsia" w:eastAsia="方正黑体_GBK"/>
                <w:color w:val="auto"/>
                <w:sz w:val="24"/>
              </w:rPr>
            </w:pPr>
            <w:r>
              <w:rPr>
                <w:rFonts w:hint="eastAsia" w:eastAsia="方正黑体_GBK"/>
                <w:color w:val="auto"/>
                <w:sz w:val="24"/>
              </w:rPr>
              <w:t>支付后有结余</w:t>
            </w:r>
          </w:p>
        </w:tc>
        <w:tc>
          <w:tcPr>
            <w:tcW w:w="3713" w:type="dxa"/>
            <w:gridSpan w:val="4"/>
            <w:tcBorders>
              <w:top w:val="single" w:color="auto" w:sz="4" w:space="0"/>
              <w:bottom w:val="single" w:color="auto" w:sz="4" w:space="0"/>
            </w:tcBorders>
            <w:noWrap w:val="0"/>
            <w:vAlign w:val="center"/>
          </w:tcPr>
          <w:p>
            <w:pPr>
              <w:overflowPunct w:val="0"/>
              <w:spacing w:line="440" w:lineRule="exact"/>
              <w:jc w:val="center"/>
              <w:rPr>
                <w:rFonts w:hint="eastAsia" w:eastAsia="方正黑体_GBK"/>
                <w:color w:val="auto"/>
                <w:sz w:val="24"/>
              </w:rPr>
            </w:pPr>
            <w:r>
              <w:rPr>
                <w:rFonts w:hint="eastAsia" w:eastAsia="方正黑体_GBK"/>
                <w:color w:val="auto"/>
                <w:sz w:val="24"/>
              </w:rPr>
              <w:t>支付后无结余</w:t>
            </w:r>
          </w:p>
        </w:tc>
        <w:tc>
          <w:tcPr>
            <w:tcW w:w="897" w:type="dxa"/>
            <w:vMerge w:val="continue"/>
            <w:tcBorders>
              <w:top w:val="single" w:color="auto" w:sz="4" w:space="0"/>
              <w:bottom w:val="single" w:color="auto" w:sz="4" w:space="0"/>
            </w:tcBorders>
            <w:noWrap w:val="0"/>
            <w:vAlign w:val="center"/>
          </w:tcPr>
          <w:p>
            <w:pPr>
              <w:overflowPunct w:val="0"/>
              <w:spacing w:line="44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384" w:type="dxa"/>
            <w:vMerge w:val="continue"/>
            <w:tcBorders>
              <w:bottom w:val="single" w:color="auto" w:sz="4" w:space="0"/>
            </w:tcBorders>
            <w:noWrap w:val="0"/>
            <w:vAlign w:val="center"/>
          </w:tcPr>
          <w:p>
            <w:pPr>
              <w:overflowPunct w:val="0"/>
              <w:spacing w:line="440" w:lineRule="exact"/>
              <w:jc w:val="center"/>
              <w:rPr>
                <w:color w:val="auto"/>
                <w:sz w:val="24"/>
              </w:rPr>
            </w:pPr>
          </w:p>
        </w:tc>
        <w:tc>
          <w:tcPr>
            <w:tcW w:w="992" w:type="dxa"/>
            <w:vMerge w:val="continue"/>
            <w:tcBorders>
              <w:bottom w:val="single" w:color="auto" w:sz="4" w:space="0"/>
            </w:tcBorders>
            <w:noWrap w:val="0"/>
            <w:vAlign w:val="center"/>
          </w:tcPr>
          <w:p>
            <w:pPr>
              <w:overflowPunct w:val="0"/>
              <w:spacing w:line="440" w:lineRule="exact"/>
              <w:jc w:val="center"/>
              <w:rPr>
                <w:color w:val="auto"/>
                <w:sz w:val="24"/>
              </w:rPr>
            </w:pPr>
          </w:p>
        </w:tc>
        <w:tc>
          <w:tcPr>
            <w:tcW w:w="879" w:type="dxa"/>
            <w:vMerge w:val="continue"/>
            <w:tcBorders>
              <w:bottom w:val="single" w:color="auto" w:sz="4" w:space="0"/>
            </w:tcBorders>
            <w:noWrap w:val="0"/>
            <w:vAlign w:val="center"/>
          </w:tcPr>
          <w:p>
            <w:pPr>
              <w:overflowPunct w:val="0"/>
              <w:spacing w:line="440" w:lineRule="exact"/>
              <w:jc w:val="center"/>
              <w:rPr>
                <w:color w:val="auto"/>
                <w:sz w:val="24"/>
              </w:rPr>
            </w:pPr>
          </w:p>
        </w:tc>
        <w:tc>
          <w:tcPr>
            <w:tcW w:w="978" w:type="dxa"/>
            <w:vMerge w:val="continue"/>
            <w:noWrap w:val="0"/>
            <w:vAlign w:val="center"/>
          </w:tcPr>
          <w:p>
            <w:pPr>
              <w:overflowPunct w:val="0"/>
              <w:spacing w:line="440" w:lineRule="exact"/>
              <w:jc w:val="center"/>
              <w:rPr>
                <w:color w:val="auto"/>
                <w:sz w:val="24"/>
              </w:rPr>
            </w:pPr>
          </w:p>
        </w:tc>
        <w:tc>
          <w:tcPr>
            <w:tcW w:w="1069" w:type="dxa"/>
            <w:noWrap w:val="0"/>
            <w:vAlign w:val="center"/>
          </w:tcPr>
          <w:p>
            <w:pPr>
              <w:overflowPunct w:val="0"/>
              <w:spacing w:line="440" w:lineRule="exact"/>
              <w:jc w:val="center"/>
              <w:rPr>
                <w:rFonts w:hint="eastAsia" w:eastAsia="方正黑体_GBK"/>
                <w:color w:val="auto"/>
                <w:sz w:val="24"/>
              </w:rPr>
            </w:pPr>
            <w:r>
              <w:rPr>
                <w:rFonts w:hint="eastAsia" w:eastAsia="方正黑体_GBK"/>
                <w:color w:val="auto"/>
                <w:sz w:val="24"/>
              </w:rPr>
              <w:t>人员安置对象人  数</w:t>
            </w:r>
          </w:p>
        </w:tc>
        <w:tc>
          <w:tcPr>
            <w:tcW w:w="975" w:type="dxa"/>
            <w:noWrap w:val="0"/>
            <w:vAlign w:val="center"/>
          </w:tcPr>
          <w:p>
            <w:pPr>
              <w:overflowPunct w:val="0"/>
              <w:spacing w:line="440" w:lineRule="exact"/>
              <w:jc w:val="center"/>
              <w:rPr>
                <w:rFonts w:hint="eastAsia" w:eastAsia="方正黑体_GBK"/>
                <w:color w:val="auto"/>
                <w:sz w:val="24"/>
              </w:rPr>
            </w:pPr>
            <w:r>
              <w:rPr>
                <w:rFonts w:hint="eastAsia" w:eastAsia="方正黑体_GBK"/>
                <w:color w:val="auto"/>
                <w:sz w:val="24"/>
              </w:rPr>
              <w:t>安置补助费发放标准</w:t>
            </w:r>
          </w:p>
        </w:tc>
        <w:tc>
          <w:tcPr>
            <w:tcW w:w="956" w:type="dxa"/>
            <w:noWrap w:val="0"/>
            <w:vAlign w:val="center"/>
          </w:tcPr>
          <w:p>
            <w:pPr>
              <w:overflowPunct w:val="0"/>
              <w:spacing w:line="440" w:lineRule="exact"/>
              <w:jc w:val="center"/>
              <w:rPr>
                <w:rFonts w:hint="eastAsia" w:eastAsia="方正黑体_GBK"/>
                <w:color w:val="auto"/>
                <w:sz w:val="24"/>
              </w:rPr>
            </w:pPr>
            <w:r>
              <w:rPr>
                <w:rFonts w:hint="eastAsia" w:eastAsia="方正黑体_GBK"/>
                <w:color w:val="auto"/>
                <w:sz w:val="24"/>
              </w:rPr>
              <w:t>安置补助费结余部分</w:t>
            </w:r>
          </w:p>
        </w:tc>
        <w:tc>
          <w:tcPr>
            <w:tcW w:w="881" w:type="dxa"/>
            <w:tcBorders>
              <w:top w:val="single" w:color="auto" w:sz="4" w:space="0"/>
              <w:bottom w:val="single" w:color="auto" w:sz="4" w:space="0"/>
            </w:tcBorders>
            <w:noWrap w:val="0"/>
            <w:vAlign w:val="center"/>
          </w:tcPr>
          <w:p>
            <w:pPr>
              <w:overflowPunct w:val="0"/>
              <w:spacing w:line="440" w:lineRule="exact"/>
              <w:jc w:val="center"/>
              <w:rPr>
                <w:rFonts w:hint="eastAsia" w:eastAsia="方正黑体_GBK"/>
                <w:color w:val="auto"/>
                <w:sz w:val="24"/>
              </w:rPr>
            </w:pPr>
            <w:r>
              <w:rPr>
                <w:rFonts w:hint="eastAsia" w:eastAsia="方正黑体_GBK"/>
                <w:color w:val="auto"/>
                <w:sz w:val="24"/>
              </w:rPr>
              <w:t>补偿</w:t>
            </w:r>
          </w:p>
          <w:p>
            <w:pPr>
              <w:overflowPunct w:val="0"/>
              <w:spacing w:line="440" w:lineRule="exact"/>
              <w:jc w:val="center"/>
              <w:rPr>
                <w:rFonts w:hint="eastAsia" w:eastAsia="方正黑体_GBK"/>
                <w:color w:val="auto"/>
                <w:sz w:val="24"/>
              </w:rPr>
            </w:pPr>
            <w:r>
              <w:rPr>
                <w:rFonts w:hint="eastAsia" w:eastAsia="方正黑体_GBK"/>
                <w:color w:val="auto"/>
                <w:sz w:val="24"/>
              </w:rPr>
              <w:t>金额</w:t>
            </w:r>
          </w:p>
        </w:tc>
        <w:tc>
          <w:tcPr>
            <w:tcW w:w="925" w:type="dxa"/>
            <w:tcBorders>
              <w:top w:val="single" w:color="auto" w:sz="4" w:space="0"/>
              <w:bottom w:val="single" w:color="auto" w:sz="4" w:space="0"/>
            </w:tcBorders>
            <w:noWrap w:val="0"/>
            <w:vAlign w:val="center"/>
          </w:tcPr>
          <w:p>
            <w:pPr>
              <w:overflowPunct w:val="0"/>
              <w:spacing w:line="440" w:lineRule="exact"/>
              <w:jc w:val="center"/>
              <w:rPr>
                <w:rFonts w:hint="eastAsia" w:eastAsia="方正黑体_GBK"/>
                <w:color w:val="auto"/>
                <w:sz w:val="24"/>
              </w:rPr>
            </w:pPr>
            <w:r>
              <w:rPr>
                <w:rFonts w:hint="eastAsia" w:eastAsia="方正黑体_GBK"/>
                <w:color w:val="auto"/>
                <w:sz w:val="24"/>
              </w:rPr>
              <w:t>人员安置对象人  数</w:t>
            </w:r>
          </w:p>
        </w:tc>
        <w:tc>
          <w:tcPr>
            <w:tcW w:w="992" w:type="dxa"/>
            <w:tcBorders>
              <w:top w:val="single" w:color="auto" w:sz="4" w:space="0"/>
              <w:bottom w:val="single" w:color="auto" w:sz="4" w:space="0"/>
            </w:tcBorders>
            <w:noWrap w:val="0"/>
            <w:vAlign w:val="center"/>
          </w:tcPr>
          <w:p>
            <w:pPr>
              <w:overflowPunct w:val="0"/>
              <w:spacing w:line="440" w:lineRule="exact"/>
              <w:jc w:val="center"/>
              <w:rPr>
                <w:rFonts w:hint="eastAsia" w:eastAsia="方正黑体_GBK"/>
                <w:color w:val="auto"/>
                <w:sz w:val="24"/>
              </w:rPr>
            </w:pPr>
            <w:r>
              <w:rPr>
                <w:rFonts w:hint="eastAsia" w:eastAsia="方正黑体_GBK"/>
                <w:color w:val="auto"/>
                <w:sz w:val="24"/>
              </w:rPr>
              <w:t>安置补助费发放标准</w:t>
            </w:r>
          </w:p>
        </w:tc>
        <w:tc>
          <w:tcPr>
            <w:tcW w:w="992" w:type="dxa"/>
            <w:tcBorders>
              <w:top w:val="single" w:color="auto" w:sz="4" w:space="0"/>
              <w:bottom w:val="single" w:color="auto" w:sz="4" w:space="0"/>
            </w:tcBorders>
            <w:noWrap w:val="0"/>
            <w:vAlign w:val="center"/>
          </w:tcPr>
          <w:p>
            <w:pPr>
              <w:overflowPunct w:val="0"/>
              <w:spacing w:line="440" w:lineRule="exact"/>
              <w:jc w:val="center"/>
              <w:rPr>
                <w:rFonts w:hint="eastAsia" w:eastAsia="方正黑体_GBK"/>
                <w:color w:val="auto"/>
                <w:sz w:val="24"/>
              </w:rPr>
            </w:pPr>
            <w:r>
              <w:rPr>
                <w:rFonts w:hint="eastAsia" w:eastAsia="方正黑体_GBK"/>
                <w:color w:val="auto"/>
                <w:sz w:val="24"/>
              </w:rPr>
              <w:t>安置补助费补足部分</w:t>
            </w:r>
          </w:p>
        </w:tc>
        <w:tc>
          <w:tcPr>
            <w:tcW w:w="804" w:type="dxa"/>
            <w:tcBorders>
              <w:top w:val="single" w:color="auto" w:sz="4" w:space="0"/>
              <w:bottom w:val="single" w:color="auto" w:sz="4" w:space="0"/>
            </w:tcBorders>
            <w:noWrap w:val="0"/>
            <w:vAlign w:val="center"/>
          </w:tcPr>
          <w:p>
            <w:pPr>
              <w:overflowPunct w:val="0"/>
              <w:spacing w:line="440" w:lineRule="exact"/>
              <w:jc w:val="center"/>
              <w:rPr>
                <w:rFonts w:hint="eastAsia" w:eastAsia="方正黑体_GBK"/>
                <w:color w:val="auto"/>
                <w:sz w:val="24"/>
              </w:rPr>
            </w:pPr>
            <w:r>
              <w:rPr>
                <w:rFonts w:hint="eastAsia" w:eastAsia="方正黑体_GBK"/>
                <w:color w:val="auto"/>
                <w:sz w:val="24"/>
              </w:rPr>
              <w:t>补偿</w:t>
            </w:r>
          </w:p>
          <w:p>
            <w:pPr>
              <w:overflowPunct w:val="0"/>
              <w:spacing w:line="440" w:lineRule="exact"/>
              <w:jc w:val="center"/>
              <w:rPr>
                <w:rFonts w:hint="eastAsia" w:eastAsia="方正黑体_GBK"/>
                <w:color w:val="auto"/>
                <w:sz w:val="24"/>
              </w:rPr>
            </w:pPr>
            <w:r>
              <w:rPr>
                <w:rFonts w:hint="eastAsia" w:eastAsia="方正黑体_GBK"/>
                <w:color w:val="auto"/>
                <w:sz w:val="24"/>
              </w:rPr>
              <w:t>金额</w:t>
            </w:r>
          </w:p>
        </w:tc>
        <w:tc>
          <w:tcPr>
            <w:tcW w:w="897" w:type="dxa"/>
            <w:vMerge w:val="continue"/>
            <w:tcBorders>
              <w:bottom w:val="single" w:color="auto" w:sz="4" w:space="0"/>
            </w:tcBorders>
            <w:noWrap w:val="0"/>
            <w:vAlign w:val="center"/>
          </w:tcPr>
          <w:p>
            <w:pPr>
              <w:overflowPunct w:val="0"/>
              <w:spacing w:line="44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384" w:type="dxa"/>
            <w:tcBorders>
              <w:top w:val="single" w:color="auto" w:sz="4" w:space="0"/>
              <w:bottom w:val="single" w:color="auto" w:sz="4" w:space="0"/>
            </w:tcBorders>
            <w:noWrap w:val="0"/>
            <w:vAlign w:val="center"/>
          </w:tcPr>
          <w:p>
            <w:pPr>
              <w:overflowPunct w:val="0"/>
              <w:spacing w:line="440" w:lineRule="exact"/>
              <w:jc w:val="center"/>
              <w:rPr>
                <w:rFonts w:hint="eastAsia" w:eastAsia="方正仿宋_GBK"/>
                <w:color w:val="auto"/>
                <w:sz w:val="24"/>
                <w:lang w:eastAsia="zh-CN"/>
              </w:rPr>
            </w:pPr>
            <w:r>
              <w:rPr>
                <w:rFonts w:hint="eastAsia" w:ascii="Times New Roman" w:hAnsi="Times New Roman" w:cs="方正仿宋_GBK"/>
                <w:i w:val="0"/>
                <w:color w:val="auto"/>
                <w:kern w:val="0"/>
                <w:sz w:val="24"/>
                <w:szCs w:val="24"/>
                <w:u w:val="none"/>
                <w:lang w:val="en-US" w:eastAsia="zh-CN" w:bidi="ar"/>
              </w:rPr>
              <w:t>宁河街道</w:t>
            </w:r>
            <w:r>
              <w:rPr>
                <w:rFonts w:hint="eastAsia" w:ascii="Times New Roman" w:hAnsi="Times New Roman" w:cs="方正仿宋_GBK"/>
                <w:i w:val="0"/>
                <w:color w:val="auto"/>
                <w:kern w:val="0"/>
                <w:sz w:val="24"/>
                <w:szCs w:val="24"/>
                <w:u w:val="none"/>
                <w:lang w:val="en-US" w:eastAsia="zh-CN" w:bidi="ar"/>
              </w:rPr>
              <w:br w:type="textWrapping"/>
            </w:r>
            <w:r>
              <w:rPr>
                <w:rFonts w:hint="eastAsia" w:ascii="Times New Roman" w:hAnsi="Times New Roman" w:cs="方正仿宋_GBK"/>
                <w:i w:val="0"/>
                <w:color w:val="auto"/>
                <w:kern w:val="0"/>
                <w:sz w:val="24"/>
                <w:szCs w:val="24"/>
                <w:u w:val="none"/>
                <w:lang w:val="en-US" w:eastAsia="zh-CN" w:bidi="ar"/>
              </w:rPr>
              <w:t>白鹅社区1组</w:t>
            </w:r>
          </w:p>
        </w:tc>
        <w:tc>
          <w:tcPr>
            <w:tcW w:w="992"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default"/>
                <w:color w:val="auto"/>
                <w:kern w:val="0"/>
                <w:sz w:val="24"/>
                <w:lang w:val="en-US" w:bidi="ar"/>
              </w:rPr>
            </w:pPr>
            <w:r>
              <w:rPr>
                <w:rFonts w:hint="eastAsia" w:ascii="Times New Roman" w:hAnsi="Times New Roman" w:eastAsia="宋体" w:cs="宋体"/>
                <w:i w:val="0"/>
                <w:color w:val="000000"/>
                <w:kern w:val="0"/>
                <w:sz w:val="24"/>
                <w:szCs w:val="24"/>
                <w:u w:val="none"/>
                <w:lang w:val="en-US" w:eastAsia="zh-CN" w:bidi="ar"/>
              </w:rPr>
              <w:t>0.2685</w:t>
            </w:r>
          </w:p>
        </w:tc>
        <w:tc>
          <w:tcPr>
            <w:tcW w:w="879"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default"/>
                <w:color w:val="auto"/>
                <w:kern w:val="0"/>
                <w:sz w:val="24"/>
                <w:lang w:val="en-US" w:bidi="ar"/>
              </w:rPr>
            </w:pPr>
            <w:r>
              <w:rPr>
                <w:rFonts w:hint="eastAsia" w:ascii="Times New Roman" w:hAnsi="Times New Roman" w:eastAsia="宋体" w:cs="宋体"/>
                <w:i w:val="0"/>
                <w:color w:val="000000"/>
                <w:kern w:val="0"/>
                <w:sz w:val="24"/>
                <w:szCs w:val="24"/>
                <w:u w:val="none"/>
                <w:lang w:val="en-US" w:eastAsia="zh-CN" w:bidi="ar"/>
              </w:rPr>
              <w:t>4.56</w:t>
            </w:r>
          </w:p>
        </w:tc>
        <w:tc>
          <w:tcPr>
            <w:tcW w:w="978"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color w:val="auto"/>
                <w:kern w:val="0"/>
                <w:sz w:val="24"/>
                <w:lang w:bidi="ar"/>
              </w:rPr>
            </w:pPr>
            <w:r>
              <w:rPr>
                <w:rFonts w:hint="eastAsia" w:ascii="Times New Roman" w:hAnsi="Times New Roman" w:cs="方正仿宋_GBK"/>
                <w:i w:val="0"/>
                <w:color w:val="000000"/>
                <w:kern w:val="0"/>
                <w:sz w:val="24"/>
                <w:szCs w:val="24"/>
                <w:u w:val="none"/>
                <w:lang w:val="en-US" w:eastAsia="zh-CN" w:bidi="ar"/>
              </w:rPr>
              <w:t>0.36</w:t>
            </w:r>
            <w:r>
              <w:rPr>
                <w:rFonts w:hint="eastAsia" w:ascii="Times New Roman" w:hAnsi="Times New Roman" w:eastAsia="方正仿宋_GBK" w:cs="方正仿宋_GBK"/>
                <w:i w:val="0"/>
                <w:color w:val="000000"/>
                <w:kern w:val="0"/>
                <w:sz w:val="24"/>
                <w:szCs w:val="24"/>
                <w:u w:val="none"/>
                <w:lang w:val="en-US" w:eastAsia="zh-CN" w:bidi="ar"/>
              </w:rPr>
              <w:t>8</w:t>
            </w:r>
          </w:p>
        </w:tc>
        <w:tc>
          <w:tcPr>
            <w:tcW w:w="1069"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color w:val="auto"/>
                <w:kern w:val="0"/>
                <w:sz w:val="24"/>
                <w:lang w:bidi="ar"/>
              </w:rPr>
            </w:pPr>
          </w:p>
        </w:tc>
        <w:tc>
          <w:tcPr>
            <w:tcW w:w="97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color w:val="auto"/>
                <w:kern w:val="0"/>
                <w:sz w:val="24"/>
                <w:lang w:bidi="ar"/>
              </w:rPr>
            </w:pPr>
          </w:p>
        </w:tc>
        <w:tc>
          <w:tcPr>
            <w:tcW w:w="956"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color w:val="auto"/>
                <w:kern w:val="0"/>
                <w:sz w:val="24"/>
                <w:lang w:bidi="ar"/>
              </w:rPr>
            </w:pPr>
          </w:p>
        </w:tc>
        <w:tc>
          <w:tcPr>
            <w:tcW w:w="881"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color w:val="auto"/>
                <w:kern w:val="0"/>
                <w:sz w:val="24"/>
                <w:lang w:bidi="ar"/>
              </w:rPr>
            </w:pPr>
          </w:p>
        </w:tc>
        <w:tc>
          <w:tcPr>
            <w:tcW w:w="925" w:type="dxa"/>
            <w:tcBorders>
              <w:top w:val="single" w:color="auto" w:sz="4" w:space="0"/>
              <w:bottom w:val="single" w:color="auto" w:sz="4" w:space="0"/>
            </w:tcBorders>
            <w:noWrap w:val="0"/>
            <w:vAlign w:val="center"/>
          </w:tcPr>
          <w:p>
            <w:pPr>
              <w:jc w:val="center"/>
              <w:rPr>
                <w:rFonts w:hint="eastAsia" w:eastAsia="方正仿宋_GBK"/>
                <w:color w:val="auto"/>
                <w:kern w:val="0"/>
                <w:sz w:val="24"/>
                <w:szCs w:val="24"/>
                <w:lang w:val="en-US" w:eastAsia="zh-CN" w:bidi="ar"/>
              </w:rPr>
            </w:pPr>
            <w:r>
              <w:rPr>
                <w:rFonts w:hint="eastAsia"/>
                <w:color w:val="auto"/>
                <w:kern w:val="0"/>
                <w:sz w:val="24"/>
                <w:szCs w:val="24"/>
                <w:lang w:val="en-US" w:eastAsia="zh-CN" w:bidi="ar"/>
              </w:rPr>
              <w:t>1</w:t>
            </w:r>
          </w:p>
        </w:tc>
        <w:tc>
          <w:tcPr>
            <w:tcW w:w="992" w:type="dxa"/>
            <w:tcBorders>
              <w:top w:val="single" w:color="auto" w:sz="4" w:space="0"/>
              <w:bottom w:val="single" w:color="auto" w:sz="4" w:space="0"/>
            </w:tcBorders>
            <w:noWrap w:val="0"/>
            <w:vAlign w:val="center"/>
          </w:tcPr>
          <w:p>
            <w:pPr>
              <w:jc w:val="center"/>
              <w:rPr>
                <w:rFonts w:hint="default" w:eastAsia="方正仿宋_GBK"/>
                <w:color w:val="auto"/>
                <w:kern w:val="0"/>
                <w:sz w:val="24"/>
                <w:szCs w:val="24"/>
                <w:lang w:val="en-US" w:eastAsia="zh-CN" w:bidi="ar"/>
              </w:rPr>
            </w:pPr>
            <w:r>
              <w:rPr>
                <w:rFonts w:hint="eastAsia"/>
                <w:color w:val="auto"/>
                <w:kern w:val="0"/>
                <w:sz w:val="24"/>
                <w:szCs w:val="24"/>
                <w:lang w:val="en-US" w:eastAsia="zh-CN" w:bidi="ar"/>
              </w:rPr>
              <w:t>3.5</w:t>
            </w:r>
          </w:p>
        </w:tc>
        <w:tc>
          <w:tcPr>
            <w:tcW w:w="992" w:type="dxa"/>
            <w:tcBorders>
              <w:top w:val="single" w:color="auto" w:sz="4" w:space="0"/>
              <w:bottom w:val="single" w:color="auto" w:sz="4" w:space="0"/>
            </w:tcBorders>
            <w:noWrap w:val="0"/>
            <w:vAlign w:val="center"/>
          </w:tcPr>
          <w:p>
            <w:pPr>
              <w:jc w:val="center"/>
              <w:rPr>
                <w:rFonts w:hint="default" w:eastAsia="方正仿宋_GBK"/>
                <w:color w:val="auto"/>
                <w:kern w:val="0"/>
                <w:sz w:val="24"/>
                <w:szCs w:val="24"/>
                <w:lang w:val="en-US" w:eastAsia="zh-CN" w:bidi="ar"/>
              </w:rPr>
            </w:pPr>
            <w:r>
              <w:rPr>
                <w:rFonts w:hint="eastAsia"/>
                <w:color w:val="auto"/>
                <w:kern w:val="0"/>
                <w:sz w:val="24"/>
                <w:szCs w:val="24"/>
                <w:lang w:val="en-US" w:eastAsia="zh-CN" w:bidi="ar"/>
              </w:rPr>
              <w:t>2.643</w:t>
            </w:r>
          </w:p>
        </w:tc>
        <w:tc>
          <w:tcPr>
            <w:tcW w:w="804" w:type="dxa"/>
            <w:tcBorders>
              <w:top w:val="single" w:color="auto" w:sz="4" w:space="0"/>
              <w:bottom w:val="single" w:color="auto" w:sz="4" w:space="0"/>
            </w:tcBorders>
            <w:noWrap w:val="0"/>
            <w:vAlign w:val="center"/>
          </w:tcPr>
          <w:p>
            <w:pPr>
              <w:jc w:val="center"/>
              <w:rPr>
                <w:rFonts w:hint="default" w:eastAsia="方正仿宋_GBK"/>
                <w:color w:val="auto"/>
                <w:kern w:val="0"/>
                <w:sz w:val="24"/>
                <w:szCs w:val="24"/>
                <w:lang w:val="en-US" w:eastAsia="zh-CN" w:bidi="ar"/>
              </w:rPr>
            </w:pPr>
            <w:r>
              <w:rPr>
                <w:rFonts w:hint="eastAsia"/>
                <w:color w:val="auto"/>
                <w:kern w:val="0"/>
                <w:sz w:val="24"/>
                <w:szCs w:val="24"/>
                <w:lang w:val="en-US" w:eastAsia="zh-CN" w:bidi="ar"/>
              </w:rPr>
              <w:t>3.5</w:t>
            </w:r>
          </w:p>
        </w:tc>
        <w:tc>
          <w:tcPr>
            <w:tcW w:w="897"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default"/>
                <w:color w:val="auto"/>
                <w:kern w:val="0"/>
                <w:sz w:val="24"/>
                <w:lang w:val="en-US" w:bidi="ar"/>
              </w:rPr>
            </w:pPr>
            <w:r>
              <w:rPr>
                <w:rFonts w:hint="eastAsia" w:ascii="Times New Roman" w:hAnsi="Times New Roman" w:cs="方正仿宋_GBK"/>
                <w:i w:val="0"/>
                <w:color w:val="000000"/>
                <w:kern w:val="0"/>
                <w:sz w:val="24"/>
                <w:szCs w:val="24"/>
                <w:u w:val="none"/>
                <w:lang w:val="en-US" w:eastAsia="zh-CN" w:bidi="ar"/>
              </w:rPr>
              <w:t>3.868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384" w:type="dxa"/>
            <w:tcBorders>
              <w:top w:val="single" w:color="auto" w:sz="4" w:space="0"/>
            </w:tcBorders>
            <w:noWrap w:val="0"/>
            <w:vAlign w:val="center"/>
          </w:tcPr>
          <w:p>
            <w:pPr>
              <w:overflowPunct w:val="0"/>
              <w:spacing w:line="440" w:lineRule="exact"/>
              <w:jc w:val="center"/>
              <w:rPr>
                <w:rFonts w:hint="eastAsia" w:eastAsia="方正仿宋_GBK"/>
                <w:color w:val="auto"/>
                <w:sz w:val="24"/>
                <w:lang w:eastAsia="zh-CN"/>
              </w:rPr>
            </w:pPr>
            <w:r>
              <w:rPr>
                <w:rFonts w:hint="eastAsia"/>
                <w:color w:val="auto"/>
                <w:sz w:val="24"/>
                <w:lang w:eastAsia="zh-CN"/>
              </w:rPr>
              <w:t>宁河街道九磷社区</w:t>
            </w:r>
          </w:p>
        </w:tc>
        <w:tc>
          <w:tcPr>
            <w:tcW w:w="992" w:type="dxa"/>
            <w:tcBorders>
              <w:top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宋体"/>
                <w:i w:val="0"/>
                <w:color w:val="000000"/>
                <w:kern w:val="0"/>
                <w:sz w:val="24"/>
                <w:szCs w:val="24"/>
                <w:u w:val="none"/>
                <w:lang w:val="en-US" w:eastAsia="zh-CN" w:bidi="ar"/>
              </w:rPr>
            </w:pPr>
            <w:r>
              <w:rPr>
                <w:rFonts w:hint="eastAsia" w:ascii="Times New Roman" w:hAnsi="Times New Roman" w:eastAsia="宋体" w:cs="宋体"/>
                <w:i w:val="0"/>
                <w:color w:val="000000"/>
                <w:kern w:val="0"/>
                <w:sz w:val="24"/>
                <w:szCs w:val="24"/>
                <w:u w:val="none"/>
                <w:lang w:val="en-US" w:eastAsia="zh-CN" w:bidi="ar"/>
              </w:rPr>
              <w:t>0.729</w:t>
            </w:r>
          </w:p>
        </w:tc>
        <w:tc>
          <w:tcPr>
            <w:tcW w:w="879" w:type="dxa"/>
            <w:tcBorders>
              <w:top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宋体"/>
                <w:i w:val="0"/>
                <w:color w:val="000000"/>
                <w:kern w:val="0"/>
                <w:sz w:val="24"/>
                <w:szCs w:val="24"/>
                <w:u w:val="none"/>
                <w:lang w:val="en-US" w:eastAsia="zh-CN" w:bidi="ar"/>
              </w:rPr>
            </w:pPr>
            <w:r>
              <w:rPr>
                <w:rFonts w:hint="eastAsia" w:ascii="Times New Roman" w:hAnsi="Times New Roman" w:eastAsia="宋体" w:cs="宋体"/>
                <w:i w:val="0"/>
                <w:color w:val="000000"/>
                <w:kern w:val="0"/>
                <w:sz w:val="24"/>
                <w:szCs w:val="24"/>
                <w:u w:val="none"/>
                <w:lang w:val="en-US" w:eastAsia="zh-CN" w:bidi="ar"/>
              </w:rPr>
              <w:t>4.56</w:t>
            </w:r>
          </w:p>
        </w:tc>
        <w:tc>
          <w:tcPr>
            <w:tcW w:w="978" w:type="dxa"/>
            <w:tcBorders>
              <w:top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cs="方正仿宋_GBK"/>
                <w:i w:val="0"/>
                <w:color w:val="000000"/>
                <w:kern w:val="0"/>
                <w:sz w:val="24"/>
                <w:szCs w:val="24"/>
                <w:u w:val="none"/>
                <w:lang w:val="en-US" w:eastAsia="zh-CN" w:bidi="ar"/>
              </w:rPr>
              <w:t>0.998</w:t>
            </w:r>
          </w:p>
        </w:tc>
        <w:tc>
          <w:tcPr>
            <w:tcW w:w="1069" w:type="dxa"/>
            <w:tcBorders>
              <w:top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方正仿宋_GBK"/>
                <w:i w:val="0"/>
                <w:color w:val="000000"/>
                <w:kern w:val="0"/>
                <w:sz w:val="24"/>
                <w:szCs w:val="24"/>
                <w:u w:val="none"/>
                <w:lang w:val="en-US" w:eastAsia="zh-CN" w:bidi="ar"/>
              </w:rPr>
            </w:pPr>
          </w:p>
        </w:tc>
        <w:tc>
          <w:tcPr>
            <w:tcW w:w="975" w:type="dxa"/>
            <w:tcBorders>
              <w:top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956" w:type="dxa"/>
            <w:tcBorders>
              <w:top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881" w:type="dxa"/>
            <w:tcBorders>
              <w:top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925" w:type="dxa"/>
            <w:tcBorders>
              <w:top w:val="single" w:color="auto" w:sz="4" w:space="0"/>
            </w:tcBorders>
            <w:noWrap w:val="0"/>
            <w:vAlign w:val="center"/>
          </w:tcPr>
          <w:p>
            <w:pPr>
              <w:jc w:val="center"/>
              <w:rPr>
                <w:rFonts w:hint="eastAsia" w:eastAsia="方正仿宋_GBK"/>
                <w:color w:val="auto"/>
                <w:kern w:val="0"/>
                <w:sz w:val="24"/>
                <w:lang w:val="en-US" w:eastAsia="zh-CN" w:bidi="ar"/>
              </w:rPr>
            </w:pPr>
            <w:r>
              <w:rPr>
                <w:rFonts w:hint="eastAsia"/>
                <w:color w:val="auto"/>
                <w:kern w:val="0"/>
                <w:sz w:val="24"/>
                <w:lang w:val="en-US" w:eastAsia="zh-CN" w:bidi="ar"/>
              </w:rPr>
              <w:t>1</w:t>
            </w:r>
          </w:p>
        </w:tc>
        <w:tc>
          <w:tcPr>
            <w:tcW w:w="992" w:type="dxa"/>
            <w:tcBorders>
              <w:top w:val="single" w:color="auto" w:sz="4" w:space="0"/>
            </w:tcBorders>
            <w:noWrap w:val="0"/>
            <w:vAlign w:val="center"/>
          </w:tcPr>
          <w:p>
            <w:pPr>
              <w:jc w:val="center"/>
              <w:rPr>
                <w:rFonts w:hint="default" w:eastAsia="方正仿宋_GBK"/>
                <w:color w:val="auto"/>
                <w:kern w:val="0"/>
                <w:sz w:val="24"/>
                <w:lang w:val="en-US" w:eastAsia="zh-CN" w:bidi="ar"/>
              </w:rPr>
            </w:pPr>
            <w:r>
              <w:rPr>
                <w:rFonts w:hint="eastAsia"/>
                <w:color w:val="auto"/>
                <w:kern w:val="0"/>
                <w:sz w:val="24"/>
                <w:lang w:val="en-US" w:eastAsia="zh-CN" w:bidi="ar"/>
              </w:rPr>
              <w:t>3.5</w:t>
            </w:r>
          </w:p>
        </w:tc>
        <w:tc>
          <w:tcPr>
            <w:tcW w:w="992" w:type="dxa"/>
            <w:tcBorders>
              <w:top w:val="single" w:color="auto" w:sz="4" w:space="0"/>
            </w:tcBorders>
            <w:noWrap w:val="0"/>
            <w:vAlign w:val="center"/>
          </w:tcPr>
          <w:p>
            <w:pPr>
              <w:jc w:val="center"/>
              <w:rPr>
                <w:rFonts w:hint="default" w:eastAsia="方正仿宋_GBK"/>
                <w:color w:val="auto"/>
                <w:kern w:val="0"/>
                <w:sz w:val="24"/>
                <w:lang w:val="en-US" w:eastAsia="zh-CN" w:bidi="ar"/>
              </w:rPr>
            </w:pPr>
            <w:r>
              <w:rPr>
                <w:rFonts w:hint="eastAsia"/>
                <w:color w:val="auto"/>
                <w:kern w:val="0"/>
                <w:sz w:val="24"/>
                <w:lang w:val="en-US" w:eastAsia="zh-CN" w:bidi="ar"/>
              </w:rPr>
              <w:t>1.174</w:t>
            </w:r>
          </w:p>
        </w:tc>
        <w:tc>
          <w:tcPr>
            <w:tcW w:w="804" w:type="dxa"/>
            <w:tcBorders>
              <w:top w:val="single" w:color="auto" w:sz="4" w:space="0"/>
            </w:tcBorders>
            <w:noWrap w:val="0"/>
            <w:vAlign w:val="center"/>
          </w:tcPr>
          <w:p>
            <w:pPr>
              <w:jc w:val="center"/>
              <w:rPr>
                <w:rFonts w:hint="default" w:eastAsia="方正仿宋_GBK"/>
                <w:color w:val="auto"/>
                <w:kern w:val="0"/>
                <w:sz w:val="24"/>
                <w:lang w:val="en-US" w:eastAsia="zh-CN" w:bidi="ar"/>
              </w:rPr>
            </w:pPr>
            <w:r>
              <w:rPr>
                <w:rFonts w:hint="eastAsia"/>
                <w:color w:val="auto"/>
                <w:kern w:val="0"/>
                <w:sz w:val="24"/>
                <w:lang w:val="en-US" w:eastAsia="zh-CN" w:bidi="ar"/>
              </w:rPr>
              <w:t>3.5</w:t>
            </w:r>
          </w:p>
        </w:tc>
        <w:tc>
          <w:tcPr>
            <w:tcW w:w="897" w:type="dxa"/>
            <w:tcBorders>
              <w:top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cs="方正仿宋_GBK"/>
                <w:i w:val="0"/>
                <w:color w:val="000000"/>
                <w:kern w:val="0"/>
                <w:sz w:val="24"/>
                <w:szCs w:val="24"/>
                <w:u w:val="none"/>
                <w:lang w:val="en-US" w:eastAsia="zh-CN" w:bidi="ar"/>
              </w:rPr>
              <w:t>4.498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384" w:type="dxa"/>
            <w:tcBorders>
              <w:top w:val="single" w:color="auto" w:sz="4" w:space="0"/>
              <w:bottom w:val="single" w:color="auto" w:sz="4" w:space="0"/>
            </w:tcBorders>
            <w:noWrap w:val="0"/>
            <w:vAlign w:val="center"/>
          </w:tcPr>
          <w:p>
            <w:pPr>
              <w:overflowPunct w:val="0"/>
              <w:spacing w:line="440" w:lineRule="exact"/>
              <w:jc w:val="center"/>
              <w:rPr>
                <w:color w:val="auto"/>
                <w:sz w:val="24"/>
              </w:rPr>
            </w:pPr>
            <w:r>
              <w:rPr>
                <w:color w:val="auto"/>
                <w:sz w:val="24"/>
              </w:rPr>
              <w:t>合计</w:t>
            </w:r>
          </w:p>
        </w:tc>
        <w:tc>
          <w:tcPr>
            <w:tcW w:w="992"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default"/>
                <w:color w:val="auto"/>
                <w:kern w:val="0"/>
                <w:sz w:val="24"/>
                <w:lang w:val="en-US" w:bidi="ar"/>
              </w:rPr>
            </w:pPr>
            <w:r>
              <w:rPr>
                <w:rFonts w:hint="eastAsia" w:ascii="Times New Roman" w:hAnsi="Times New Roman" w:eastAsia="宋体" w:cs="宋体"/>
                <w:i w:val="0"/>
                <w:color w:val="000000"/>
                <w:kern w:val="0"/>
                <w:sz w:val="24"/>
                <w:szCs w:val="24"/>
                <w:u w:val="none"/>
                <w:lang w:val="en-US" w:eastAsia="zh-CN" w:bidi="ar"/>
              </w:rPr>
              <w:t>0.9975</w:t>
            </w:r>
          </w:p>
        </w:tc>
        <w:tc>
          <w:tcPr>
            <w:tcW w:w="879"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default"/>
                <w:color w:val="auto"/>
                <w:kern w:val="0"/>
                <w:sz w:val="24"/>
                <w:lang w:val="en-US" w:bidi="ar"/>
              </w:rPr>
            </w:pPr>
          </w:p>
        </w:tc>
        <w:tc>
          <w:tcPr>
            <w:tcW w:w="978"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default"/>
                <w:color w:val="auto"/>
                <w:kern w:val="0"/>
                <w:sz w:val="24"/>
                <w:lang w:val="en-US" w:bidi="ar"/>
              </w:rPr>
            </w:pPr>
            <w:r>
              <w:rPr>
                <w:rFonts w:hint="eastAsia" w:ascii="Times New Roman" w:hAnsi="Times New Roman" w:cs="方正仿宋_GBK"/>
                <w:i w:val="0"/>
                <w:color w:val="000000"/>
                <w:kern w:val="0"/>
                <w:sz w:val="24"/>
                <w:szCs w:val="24"/>
                <w:u w:val="none"/>
                <w:lang w:val="en-US" w:eastAsia="zh-CN" w:bidi="ar"/>
              </w:rPr>
              <w:t>1.366</w:t>
            </w:r>
          </w:p>
        </w:tc>
        <w:tc>
          <w:tcPr>
            <w:tcW w:w="1069"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color w:val="auto"/>
                <w:kern w:val="0"/>
                <w:sz w:val="24"/>
                <w:lang w:bidi="ar"/>
              </w:rPr>
            </w:pPr>
          </w:p>
        </w:tc>
        <w:tc>
          <w:tcPr>
            <w:tcW w:w="97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color w:val="auto"/>
                <w:kern w:val="0"/>
                <w:sz w:val="24"/>
                <w:lang w:bidi="ar"/>
              </w:rPr>
            </w:pPr>
          </w:p>
        </w:tc>
        <w:tc>
          <w:tcPr>
            <w:tcW w:w="956"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color w:val="auto"/>
                <w:kern w:val="0"/>
                <w:sz w:val="24"/>
                <w:lang w:bidi="ar"/>
              </w:rPr>
            </w:pPr>
          </w:p>
        </w:tc>
        <w:tc>
          <w:tcPr>
            <w:tcW w:w="881"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color w:val="auto"/>
                <w:kern w:val="0"/>
                <w:sz w:val="24"/>
                <w:lang w:bidi="ar"/>
              </w:rPr>
            </w:pPr>
          </w:p>
        </w:tc>
        <w:tc>
          <w:tcPr>
            <w:tcW w:w="925" w:type="dxa"/>
            <w:tcBorders>
              <w:top w:val="single" w:color="auto" w:sz="4" w:space="0"/>
              <w:bottom w:val="single" w:color="auto" w:sz="4" w:space="0"/>
            </w:tcBorders>
            <w:noWrap w:val="0"/>
            <w:vAlign w:val="center"/>
          </w:tcPr>
          <w:p>
            <w:pPr>
              <w:jc w:val="center"/>
              <w:rPr>
                <w:rFonts w:hint="eastAsia" w:eastAsia="方正仿宋_GBK"/>
                <w:color w:val="auto"/>
                <w:kern w:val="0"/>
                <w:sz w:val="24"/>
                <w:lang w:val="en-US" w:eastAsia="zh-CN" w:bidi="ar"/>
              </w:rPr>
            </w:pPr>
            <w:r>
              <w:rPr>
                <w:rFonts w:hint="eastAsia"/>
                <w:color w:val="auto"/>
                <w:kern w:val="0"/>
                <w:sz w:val="24"/>
                <w:lang w:val="en-US" w:eastAsia="zh-CN" w:bidi="ar"/>
              </w:rPr>
              <w:t>2</w:t>
            </w:r>
          </w:p>
        </w:tc>
        <w:tc>
          <w:tcPr>
            <w:tcW w:w="992" w:type="dxa"/>
            <w:tcBorders>
              <w:top w:val="single" w:color="auto" w:sz="4" w:space="0"/>
              <w:bottom w:val="single" w:color="auto" w:sz="4" w:space="0"/>
            </w:tcBorders>
            <w:noWrap w:val="0"/>
            <w:vAlign w:val="center"/>
          </w:tcPr>
          <w:p>
            <w:pPr>
              <w:jc w:val="center"/>
              <w:rPr>
                <w:rFonts w:hint="eastAsia" w:eastAsia="方正仿宋_GBK"/>
                <w:color w:val="auto"/>
                <w:kern w:val="0"/>
                <w:sz w:val="24"/>
                <w:lang w:val="en-US" w:eastAsia="zh-CN" w:bidi="ar"/>
              </w:rPr>
            </w:pPr>
            <w:r>
              <w:rPr>
                <w:rFonts w:hint="eastAsia"/>
                <w:color w:val="auto"/>
                <w:kern w:val="0"/>
                <w:sz w:val="24"/>
                <w:lang w:val="en-US" w:eastAsia="zh-CN" w:bidi="ar"/>
              </w:rPr>
              <w:t>7</w:t>
            </w:r>
          </w:p>
        </w:tc>
        <w:tc>
          <w:tcPr>
            <w:tcW w:w="992" w:type="dxa"/>
            <w:tcBorders>
              <w:top w:val="single" w:color="auto" w:sz="4" w:space="0"/>
              <w:bottom w:val="single" w:color="auto" w:sz="4" w:space="0"/>
            </w:tcBorders>
            <w:noWrap w:val="0"/>
            <w:vAlign w:val="center"/>
          </w:tcPr>
          <w:p>
            <w:pPr>
              <w:jc w:val="center"/>
              <w:rPr>
                <w:rFonts w:hint="default" w:eastAsia="方正仿宋_GBK"/>
                <w:color w:val="auto"/>
                <w:kern w:val="0"/>
                <w:sz w:val="24"/>
                <w:lang w:val="en-US" w:eastAsia="zh-CN" w:bidi="ar"/>
              </w:rPr>
            </w:pPr>
            <w:r>
              <w:rPr>
                <w:rFonts w:hint="eastAsia"/>
                <w:color w:val="auto"/>
                <w:kern w:val="0"/>
                <w:sz w:val="24"/>
                <w:lang w:val="en-US" w:eastAsia="zh-CN" w:bidi="ar"/>
              </w:rPr>
              <w:t>3.817</w:t>
            </w:r>
          </w:p>
        </w:tc>
        <w:tc>
          <w:tcPr>
            <w:tcW w:w="804" w:type="dxa"/>
            <w:tcBorders>
              <w:top w:val="single" w:color="auto" w:sz="4" w:space="0"/>
              <w:bottom w:val="single" w:color="auto" w:sz="4" w:space="0"/>
            </w:tcBorders>
            <w:noWrap w:val="0"/>
            <w:vAlign w:val="center"/>
          </w:tcPr>
          <w:p>
            <w:pPr>
              <w:jc w:val="center"/>
              <w:rPr>
                <w:rFonts w:hint="default" w:eastAsia="方正仿宋_GBK"/>
                <w:color w:val="auto"/>
                <w:kern w:val="0"/>
                <w:sz w:val="24"/>
                <w:lang w:val="en-US" w:eastAsia="zh-CN" w:bidi="ar"/>
              </w:rPr>
            </w:pPr>
            <w:r>
              <w:rPr>
                <w:rFonts w:hint="eastAsia"/>
                <w:color w:val="auto"/>
                <w:kern w:val="0"/>
                <w:sz w:val="24"/>
                <w:lang w:val="en-US" w:eastAsia="zh-CN" w:bidi="ar"/>
              </w:rPr>
              <w:t>7</w:t>
            </w:r>
          </w:p>
        </w:tc>
        <w:tc>
          <w:tcPr>
            <w:tcW w:w="897"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default"/>
                <w:color w:val="auto"/>
                <w:kern w:val="0"/>
                <w:sz w:val="24"/>
                <w:lang w:val="en-US" w:bidi="ar"/>
              </w:rPr>
            </w:pPr>
            <w:r>
              <w:rPr>
                <w:rFonts w:hint="eastAsia" w:ascii="Times New Roman" w:hAnsi="Times New Roman" w:cs="方正仿宋_GBK"/>
                <w:i w:val="0"/>
                <w:color w:val="000000"/>
                <w:kern w:val="0"/>
                <w:sz w:val="24"/>
                <w:szCs w:val="24"/>
                <w:u w:val="none"/>
                <w:lang w:val="en-US" w:eastAsia="zh-CN" w:bidi="ar"/>
              </w:rPr>
              <w:t>8.366</w:t>
            </w:r>
          </w:p>
        </w:tc>
      </w:tr>
    </w:tbl>
    <w:p>
      <w:pPr>
        <w:rPr>
          <w:color w:val="auto"/>
        </w:rPr>
      </w:pPr>
    </w:p>
    <w:sectPr>
      <w:pgSz w:w="16840" w:h="11907" w:orient="landscape"/>
      <w:pgMar w:top="1588" w:right="2098" w:bottom="1474" w:left="1985"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仿宋简体">
    <w:altName w:val="方正仿宋_GBK"/>
    <w:panose1 w:val="02000000000000000000"/>
    <w:charset w:val="00"/>
    <w:family w:val="auto"/>
    <w:pitch w:val="default"/>
    <w:sig w:usb0="00000000" w:usb1="00000000" w:usb2="00000012" w:usb3="00000000" w:csb0="00040001" w:csb1="00000000"/>
  </w:font>
  <w:font w:name="方正楷体_GBK">
    <w:panose1 w:val="02000000000000000000"/>
    <w:charset w:val="86"/>
    <w:family w:val="script"/>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00"/>
    <w:family w:val="swiss"/>
    <w:pitch w:val="default"/>
    <w:sig w:usb0="00000000" w:usb1="00000000" w:usb2="00000016" w:usb3="00000000" w:csb0="0004001F" w:csb1="00000000"/>
  </w:font>
  <w:font w:name="Book Antiqua">
    <w:altName w:val="Noto Sans Syriac Eastern"/>
    <w:panose1 w:val="02040602050305030304"/>
    <w:charset w:val="00"/>
    <w:family w:val="roman"/>
    <w:pitch w:val="default"/>
    <w:sig w:usb0="00000000" w:usb1="00000000" w:usb2="00000000" w:usb3="00000000" w:csb0="2000009F" w:csb1="DFD70000"/>
  </w:font>
  <w:font w:name="Cambria">
    <w:altName w:val="Noto Sans Syriac Eastern"/>
    <w:panose1 w:val="02040503050406030204"/>
    <w:charset w:val="00"/>
    <w:family w:val="roman"/>
    <w:pitch w:val="default"/>
    <w:sig w:usb0="00000000" w:usb1="00000000" w:usb2="00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right="357" w:firstLine="357"/>
      <w:rPr>
        <w:rStyle w:val="23"/>
        <w:rFonts w:hint="eastAsia" w:ascii="宋体" w:hAnsi="宋体" w:eastAsia="宋体"/>
        <w:sz w:val="28"/>
        <w:szCs w:val="28"/>
      </w:rPr>
    </w:pPr>
    <w:r>
      <w:rPr>
        <w:rStyle w:val="23"/>
        <w:rFonts w:hint="eastAsia" w:ascii="宋体" w:hAnsi="宋体" w:eastAsia="宋体"/>
        <w:sz w:val="28"/>
        <w:szCs w:val="28"/>
      </w:rPr>
      <w:t xml:space="preserve">— </w:t>
    </w:r>
    <w:r>
      <w:rPr>
        <w:rFonts w:ascii="宋体" w:hAnsi="宋体" w:eastAsia="宋体"/>
        <w:sz w:val="28"/>
        <w:szCs w:val="28"/>
      </w:rPr>
      <w:fldChar w:fldCharType="begin"/>
    </w:r>
    <w:r>
      <w:rPr>
        <w:rStyle w:val="23"/>
        <w:rFonts w:ascii="宋体" w:hAnsi="宋体" w:eastAsia="宋体"/>
        <w:sz w:val="28"/>
        <w:szCs w:val="28"/>
      </w:rPr>
      <w:instrText xml:space="preserve">PAGE  </w:instrText>
    </w:r>
    <w:r>
      <w:rPr>
        <w:rFonts w:ascii="宋体" w:hAnsi="宋体" w:eastAsia="宋体"/>
        <w:sz w:val="28"/>
        <w:szCs w:val="28"/>
      </w:rPr>
      <w:fldChar w:fldCharType="separate"/>
    </w:r>
    <w:r>
      <w:rPr>
        <w:rStyle w:val="23"/>
        <w:rFonts w:ascii="宋体" w:hAnsi="宋体" w:eastAsia="宋体"/>
        <w:sz w:val="28"/>
        <w:szCs w:val="28"/>
      </w:rPr>
      <w:t>7</w:t>
    </w:r>
    <w:r>
      <w:rPr>
        <w:rFonts w:ascii="宋体" w:hAnsi="宋体" w:eastAsia="宋体"/>
        <w:sz w:val="28"/>
        <w:szCs w:val="28"/>
      </w:rPr>
      <w:fldChar w:fldCharType="end"/>
    </w:r>
    <w:r>
      <w:rPr>
        <w:rStyle w:val="23"/>
        <w:rFonts w:hint="eastAsia" w:ascii="宋体" w:hAnsi="宋体" w:eastAsia="宋体"/>
        <w:sz w:val="28"/>
        <w:szCs w:val="28"/>
      </w:rPr>
      <w:t xml:space="preserve"> —</w: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right="357" w:firstLine="357"/>
      <w:rPr>
        <w:rStyle w:val="23"/>
        <w:rFonts w:hint="eastAsia" w:ascii="宋体" w:hAnsi="宋体" w:eastAsia="宋体"/>
        <w:sz w:val="28"/>
        <w:szCs w:val="28"/>
      </w:rPr>
    </w:pPr>
    <w:r>
      <w:rPr>
        <w:rStyle w:val="23"/>
        <w:rFonts w:hint="eastAsia" w:ascii="宋体" w:hAnsi="宋体" w:eastAsia="宋体"/>
        <w:sz w:val="28"/>
        <w:szCs w:val="28"/>
      </w:rPr>
      <w:t xml:space="preserve">— </w:t>
    </w:r>
    <w:r>
      <w:rPr>
        <w:rFonts w:ascii="宋体" w:hAnsi="宋体" w:eastAsia="宋体"/>
        <w:sz w:val="28"/>
        <w:szCs w:val="28"/>
      </w:rPr>
      <w:fldChar w:fldCharType="begin"/>
    </w:r>
    <w:r>
      <w:rPr>
        <w:rStyle w:val="23"/>
        <w:rFonts w:ascii="宋体" w:hAnsi="宋体" w:eastAsia="宋体"/>
        <w:sz w:val="28"/>
        <w:szCs w:val="28"/>
      </w:rPr>
      <w:instrText xml:space="preserve">PAGE  </w:instrText>
    </w:r>
    <w:r>
      <w:rPr>
        <w:rFonts w:ascii="宋体" w:hAnsi="宋体" w:eastAsia="宋体"/>
        <w:sz w:val="28"/>
        <w:szCs w:val="28"/>
      </w:rPr>
      <w:fldChar w:fldCharType="separate"/>
    </w:r>
    <w:r>
      <w:rPr>
        <w:rStyle w:val="23"/>
        <w:rFonts w:ascii="宋体" w:hAnsi="宋体" w:eastAsia="宋体"/>
        <w:sz w:val="28"/>
        <w:szCs w:val="28"/>
      </w:rPr>
      <w:t>10</w:t>
    </w:r>
    <w:r>
      <w:rPr>
        <w:rFonts w:ascii="宋体" w:hAnsi="宋体" w:eastAsia="宋体"/>
        <w:sz w:val="28"/>
        <w:szCs w:val="28"/>
      </w:rPr>
      <w:fldChar w:fldCharType="end"/>
    </w:r>
    <w:r>
      <w:rPr>
        <w:rStyle w:val="23"/>
        <w:rFonts w:hint="eastAsia" w:ascii="宋体" w:hAnsi="宋体" w:eastAsia="宋体"/>
        <w:sz w:val="28"/>
        <w:szCs w:val="28"/>
      </w:rPr>
      <w:t xml:space="preserve"> —</w:t>
    </w:r>
  </w:p>
  <w:p>
    <w:pPr>
      <w:pStyle w:val="12"/>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right="357" w:firstLine="357"/>
      <w:rPr>
        <w:rStyle w:val="23"/>
        <w:rFonts w:hint="eastAsia" w:ascii="宋体" w:hAnsi="宋体" w:eastAsia="宋体"/>
        <w:sz w:val="28"/>
        <w:szCs w:val="28"/>
      </w:rPr>
    </w:pPr>
    <w:r>
      <w:rPr>
        <w:rStyle w:val="23"/>
        <w:rFonts w:hint="eastAsia" w:ascii="宋体" w:hAnsi="宋体" w:eastAsia="宋体"/>
        <w:sz w:val="28"/>
        <w:szCs w:val="28"/>
      </w:rPr>
      <w:t xml:space="preserve">— </w:t>
    </w:r>
    <w:r>
      <w:rPr>
        <w:rFonts w:ascii="宋体" w:hAnsi="宋体" w:eastAsia="宋体"/>
        <w:sz w:val="28"/>
        <w:szCs w:val="28"/>
      </w:rPr>
      <w:fldChar w:fldCharType="begin"/>
    </w:r>
    <w:r>
      <w:rPr>
        <w:rStyle w:val="23"/>
        <w:rFonts w:ascii="宋体" w:hAnsi="宋体" w:eastAsia="宋体"/>
        <w:sz w:val="28"/>
        <w:szCs w:val="28"/>
      </w:rPr>
      <w:instrText xml:space="preserve">PAGE  </w:instrText>
    </w:r>
    <w:r>
      <w:rPr>
        <w:rFonts w:ascii="宋体" w:hAnsi="宋体" w:eastAsia="宋体"/>
        <w:sz w:val="28"/>
        <w:szCs w:val="28"/>
      </w:rPr>
      <w:fldChar w:fldCharType="separate"/>
    </w:r>
    <w:r>
      <w:rPr>
        <w:rStyle w:val="23"/>
        <w:rFonts w:ascii="宋体" w:hAnsi="宋体" w:eastAsia="宋体"/>
        <w:sz w:val="28"/>
        <w:szCs w:val="28"/>
      </w:rPr>
      <w:t>11</w:t>
    </w:r>
    <w:r>
      <w:rPr>
        <w:rFonts w:ascii="宋体" w:hAnsi="宋体" w:eastAsia="宋体"/>
        <w:sz w:val="28"/>
        <w:szCs w:val="28"/>
      </w:rPr>
      <w:fldChar w:fldCharType="end"/>
    </w:r>
    <w:r>
      <w:rPr>
        <w:rStyle w:val="23"/>
        <w:rFonts w:hint="eastAsia" w:ascii="宋体" w:hAnsi="宋体" w:eastAsia="宋体"/>
        <w:sz w:val="28"/>
        <w:szCs w:val="28"/>
      </w:rPr>
      <w:t xml:space="preserve"> —</w:t>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FE0E04"/>
    <w:multiLevelType w:val="singleLevel"/>
    <w:tmpl w:val="CDFE0E0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readOnly" w:enforcement="0"/>
  <w:defaultTabStop w:val="420"/>
  <w:hyphenationZone w:val="360"/>
  <w:evenAndOddHeaders w:val="true"/>
  <w:drawingGridHorizontalSpacing w:val="158"/>
  <w:drawingGridVerticalSpacing w:val="579"/>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kMWY0NTBmMTA2ZTM2YzgzOWUwYWMwMWU1MGIwZjcifQ=="/>
  </w:docVars>
  <w:rsids>
    <w:rsidRoot w:val="00172A27"/>
    <w:rsid w:val="001D39BB"/>
    <w:rsid w:val="0031309B"/>
    <w:rsid w:val="004E5974"/>
    <w:rsid w:val="006243FD"/>
    <w:rsid w:val="007E10B9"/>
    <w:rsid w:val="00915127"/>
    <w:rsid w:val="009151FA"/>
    <w:rsid w:val="00AC21BB"/>
    <w:rsid w:val="00AE048B"/>
    <w:rsid w:val="00B10597"/>
    <w:rsid w:val="0257760D"/>
    <w:rsid w:val="06787951"/>
    <w:rsid w:val="0C98355C"/>
    <w:rsid w:val="0CF94705"/>
    <w:rsid w:val="102351BA"/>
    <w:rsid w:val="177FD4AB"/>
    <w:rsid w:val="1B8FD86C"/>
    <w:rsid w:val="1D373737"/>
    <w:rsid w:val="1D5852AE"/>
    <w:rsid w:val="207146AB"/>
    <w:rsid w:val="25E45964"/>
    <w:rsid w:val="283B09F9"/>
    <w:rsid w:val="29EFF40F"/>
    <w:rsid w:val="30E67422"/>
    <w:rsid w:val="33E40FB1"/>
    <w:rsid w:val="38520286"/>
    <w:rsid w:val="3AEC720A"/>
    <w:rsid w:val="3B3F4C44"/>
    <w:rsid w:val="3C3A6FCB"/>
    <w:rsid w:val="3F4378B8"/>
    <w:rsid w:val="405B103D"/>
    <w:rsid w:val="46955E01"/>
    <w:rsid w:val="488B428B"/>
    <w:rsid w:val="493D776A"/>
    <w:rsid w:val="4BA369EC"/>
    <w:rsid w:val="4D8332BA"/>
    <w:rsid w:val="52B626F7"/>
    <w:rsid w:val="58501654"/>
    <w:rsid w:val="5B252CA2"/>
    <w:rsid w:val="62917D12"/>
    <w:rsid w:val="64CA7A16"/>
    <w:rsid w:val="64CF5CFA"/>
    <w:rsid w:val="691F39C5"/>
    <w:rsid w:val="6C97F3D9"/>
    <w:rsid w:val="6EDFB5D0"/>
    <w:rsid w:val="6F4FE9BD"/>
    <w:rsid w:val="715A42BE"/>
    <w:rsid w:val="7333B105"/>
    <w:rsid w:val="75626DBC"/>
    <w:rsid w:val="77CA8907"/>
    <w:rsid w:val="79156309"/>
    <w:rsid w:val="7D67616B"/>
    <w:rsid w:val="7F371642"/>
    <w:rsid w:val="7FE91880"/>
    <w:rsid w:val="BC45B543"/>
    <w:rsid w:val="BF7B28FC"/>
    <w:rsid w:val="DF7D6835"/>
    <w:rsid w:val="DFDEF30A"/>
    <w:rsid w:val="DFFAD8D7"/>
    <w:rsid w:val="EFB676CA"/>
    <w:rsid w:val="F7CF6FAE"/>
    <w:rsid w:val="FB5B229E"/>
    <w:rsid w:val="FF32F0E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link w:val="25"/>
    <w:qFormat/>
    <w:uiPriority w:val="0"/>
    <w:pPr>
      <w:keepNext/>
      <w:keepLines/>
      <w:spacing w:before="340" w:beforeLines="0" w:after="330" w:afterLines="0" w:line="578" w:lineRule="auto"/>
      <w:outlineLvl w:val="0"/>
    </w:pPr>
    <w:rPr>
      <w:rFonts w:eastAsia="方正仿宋简体"/>
      <w:b/>
      <w:bCs/>
      <w:kern w:val="44"/>
      <w:sz w:val="44"/>
      <w:szCs w:val="44"/>
    </w:rPr>
  </w:style>
  <w:style w:type="paragraph" w:styleId="3">
    <w:name w:val="heading 2"/>
    <w:basedOn w:val="1"/>
    <w:next w:val="1"/>
    <w:link w:val="26"/>
    <w:qFormat/>
    <w:uiPriority w:val="0"/>
    <w:pPr>
      <w:outlineLvl w:val="1"/>
    </w:pPr>
    <w:rPr>
      <w:rFonts w:ascii="方正楷体_GBK" w:eastAsia="方正楷体_GBK" w:cs="Times New Roman"/>
      <w:kern w:val="2"/>
      <w:sz w:val="32"/>
      <w:szCs w:val="24"/>
    </w:rPr>
  </w:style>
  <w:style w:type="paragraph" w:styleId="4">
    <w:name w:val="heading 3"/>
    <w:basedOn w:val="1"/>
    <w:next w:val="1"/>
    <w:link w:val="27"/>
    <w:qFormat/>
    <w:uiPriority w:val="0"/>
    <w:pPr>
      <w:ind w:firstLine="643"/>
      <w:outlineLvl w:val="2"/>
    </w:pPr>
    <w:rPr>
      <w:rFonts w:eastAsia="方正仿宋_GBK" w:cs="Times New Roman"/>
      <w:b/>
      <w:bCs/>
      <w:kern w:val="2"/>
      <w:sz w:val="32"/>
      <w:szCs w:val="24"/>
    </w:rPr>
  </w:style>
  <w:style w:type="paragraph" w:styleId="5">
    <w:name w:val="heading 4"/>
    <w:basedOn w:val="3"/>
    <w:next w:val="1"/>
    <w:link w:val="28"/>
    <w:qFormat/>
    <w:uiPriority w:val="0"/>
    <w:pPr>
      <w:spacing w:line="376" w:lineRule="auto"/>
      <w:outlineLvl w:val="3"/>
    </w:pPr>
    <w:rPr>
      <w:rFonts w:ascii="方正楷体_GBK" w:eastAsia="方正楷体_GBK" w:cs="Times New Roman"/>
      <w:sz w:val="28"/>
      <w:szCs w:val="28"/>
    </w:rPr>
  </w:style>
  <w:style w:type="character" w:default="1" w:styleId="21">
    <w:name w:val="Default Paragraph Font"/>
    <w:qFormat/>
    <w:uiPriority w:val="0"/>
  </w:style>
  <w:style w:type="table" w:default="1" w:styleId="19">
    <w:name w:val="Normal Table"/>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cs="Times New Roman"/>
    </w:rPr>
  </w:style>
  <w:style w:type="paragraph" w:styleId="7">
    <w:name w:val="Body Text"/>
    <w:basedOn w:val="1"/>
    <w:next w:val="1"/>
    <w:link w:val="29"/>
    <w:qFormat/>
    <w:uiPriority w:val="0"/>
    <w:pPr>
      <w:widowControl/>
      <w:adjustRightInd w:val="0"/>
      <w:snapToGrid w:val="0"/>
      <w:spacing w:after="120" w:afterLines="0"/>
      <w:jc w:val="left"/>
    </w:pPr>
    <w:rPr>
      <w:rFonts w:ascii="Tahoma" w:hAnsi="Tahoma" w:eastAsia="微软雅黑"/>
      <w:sz w:val="22"/>
      <w:szCs w:val="22"/>
    </w:rPr>
  </w:style>
  <w:style w:type="paragraph" w:styleId="8">
    <w:name w:val="Body Text Indent"/>
    <w:basedOn w:val="1"/>
    <w:link w:val="30"/>
    <w:qFormat/>
    <w:uiPriority w:val="0"/>
    <w:pPr>
      <w:ind w:firstLine="200"/>
    </w:pPr>
    <w:rPr>
      <w:rFonts w:eastAsia="方正仿宋_GBK" w:cs="Times New Roman"/>
      <w:kern w:val="2"/>
      <w:sz w:val="32"/>
      <w:szCs w:val="24"/>
    </w:rPr>
  </w:style>
  <w:style w:type="paragraph" w:styleId="9">
    <w:name w:val="toc 5"/>
    <w:basedOn w:val="1"/>
    <w:next w:val="1"/>
    <w:qFormat/>
    <w:uiPriority w:val="0"/>
    <w:pPr>
      <w:ind w:left="1680" w:leftChars="800"/>
    </w:pPr>
  </w:style>
  <w:style w:type="paragraph" w:styleId="10">
    <w:name w:val="Date"/>
    <w:basedOn w:val="1"/>
    <w:next w:val="1"/>
    <w:qFormat/>
    <w:uiPriority w:val="0"/>
    <w:pPr>
      <w:ind w:left="100" w:leftChars="2500"/>
    </w:pPr>
  </w:style>
  <w:style w:type="paragraph" w:styleId="11">
    <w:name w:val="Balloon Text"/>
    <w:basedOn w:val="1"/>
    <w:link w:val="31"/>
    <w:qFormat/>
    <w:uiPriority w:val="0"/>
    <w:rPr>
      <w:rFonts w:eastAsia="方正仿宋_GBK" w:cs="Times New Roman"/>
      <w:kern w:val="2"/>
      <w:sz w:val="18"/>
      <w:szCs w:val="18"/>
    </w:rPr>
  </w:style>
  <w:style w:type="paragraph" w:styleId="12">
    <w:name w:val="footer"/>
    <w:basedOn w:val="1"/>
    <w:link w:val="32"/>
    <w:qFormat/>
    <w:uiPriority w:val="0"/>
    <w:pPr>
      <w:tabs>
        <w:tab w:val="center" w:pos="4153"/>
        <w:tab w:val="right" w:pos="8306"/>
      </w:tabs>
      <w:snapToGrid w:val="0"/>
      <w:jc w:val="left"/>
    </w:pPr>
    <w:rPr>
      <w:rFonts w:eastAsia="方正仿宋_GBK"/>
      <w:kern w:val="2"/>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toc 2"/>
    <w:basedOn w:val="1"/>
    <w:next w:val="1"/>
    <w:qFormat/>
    <w:uiPriority w:val="0"/>
    <w:pPr>
      <w:ind w:left="420" w:leftChars="200"/>
    </w:pPr>
    <w:rPr>
      <w:rFonts w:cs="Times New Roman"/>
    </w:rPr>
  </w:style>
  <w:style w:type="paragraph" w:styleId="16">
    <w:name w:val="Normal (Web)"/>
    <w:basedOn w:val="1"/>
    <w:qFormat/>
    <w:uiPriority w:val="0"/>
    <w:pPr>
      <w:widowControl/>
      <w:spacing w:before="100" w:beforeLines="0" w:beforeAutospacing="1" w:after="100" w:afterLines="0" w:afterAutospacing="1"/>
      <w:jc w:val="left"/>
    </w:pPr>
    <w:rPr>
      <w:rFonts w:ascii="宋体" w:hAnsi="宋体" w:eastAsia="宋体"/>
      <w:kern w:val="0"/>
      <w:sz w:val="24"/>
    </w:rPr>
  </w:style>
  <w:style w:type="paragraph" w:styleId="17">
    <w:name w:val="Body Text First Indent"/>
    <w:basedOn w:val="7"/>
    <w:link w:val="33"/>
    <w:qFormat/>
    <w:uiPriority w:val="0"/>
    <w:pPr>
      <w:widowControl w:val="0"/>
      <w:adjustRightInd/>
      <w:snapToGrid/>
      <w:ind w:firstLine="420" w:firstLineChars="100"/>
      <w:jc w:val="both"/>
    </w:pPr>
    <w:rPr>
      <w:rFonts w:eastAsia="方正仿宋_GBK"/>
      <w:kern w:val="2"/>
      <w:sz w:val="32"/>
      <w:szCs w:val="24"/>
    </w:rPr>
  </w:style>
  <w:style w:type="paragraph" w:styleId="18">
    <w:name w:val="Body Text First Indent 2"/>
    <w:basedOn w:val="8"/>
    <w:link w:val="34"/>
    <w:qFormat/>
    <w:uiPriority w:val="0"/>
    <w:pPr>
      <w:ind w:firstLine="420"/>
    </w:p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Hyperlink"/>
    <w:basedOn w:val="21"/>
    <w:qFormat/>
    <w:uiPriority w:val="0"/>
    <w:rPr>
      <w:color w:val="0000FF"/>
      <w:u w:val="single"/>
    </w:rPr>
  </w:style>
  <w:style w:type="character" w:customStyle="1" w:styleId="25">
    <w:name w:val="标题 1 Char"/>
    <w:basedOn w:val="21"/>
    <w:link w:val="2"/>
    <w:qFormat/>
    <w:uiPriority w:val="0"/>
    <w:rPr>
      <w:rFonts w:eastAsia="方正仿宋简体"/>
      <w:b/>
      <w:bCs/>
      <w:kern w:val="44"/>
      <w:sz w:val="44"/>
      <w:szCs w:val="44"/>
    </w:rPr>
  </w:style>
  <w:style w:type="character" w:customStyle="1" w:styleId="26">
    <w:name w:val="标题 2 Char"/>
    <w:basedOn w:val="21"/>
    <w:link w:val="3"/>
    <w:qFormat/>
    <w:uiPriority w:val="0"/>
    <w:rPr>
      <w:rFonts w:ascii="方正楷体_GBK" w:eastAsia="方正楷体_GBK" w:cs="Times New Roman"/>
      <w:kern w:val="2"/>
      <w:sz w:val="32"/>
      <w:szCs w:val="24"/>
    </w:rPr>
  </w:style>
  <w:style w:type="character" w:customStyle="1" w:styleId="27">
    <w:name w:val="标题 3 Char"/>
    <w:basedOn w:val="21"/>
    <w:link w:val="4"/>
    <w:qFormat/>
    <w:uiPriority w:val="0"/>
    <w:rPr>
      <w:rFonts w:eastAsia="方正仿宋_GBK" w:cs="Times New Roman"/>
      <w:b/>
      <w:bCs/>
      <w:kern w:val="2"/>
      <w:sz w:val="32"/>
      <w:szCs w:val="24"/>
    </w:rPr>
  </w:style>
  <w:style w:type="character" w:customStyle="1" w:styleId="28">
    <w:name w:val="标题 4 Char"/>
    <w:basedOn w:val="21"/>
    <w:link w:val="5"/>
    <w:qFormat/>
    <w:uiPriority w:val="0"/>
    <w:rPr>
      <w:rFonts w:ascii="方正楷体_GBK" w:eastAsia="方正楷体_GBK" w:cs="Times New Roman"/>
      <w:sz w:val="28"/>
      <w:szCs w:val="28"/>
    </w:rPr>
  </w:style>
  <w:style w:type="character" w:customStyle="1" w:styleId="29">
    <w:name w:val="正文文本 Char"/>
    <w:basedOn w:val="21"/>
    <w:link w:val="7"/>
    <w:qFormat/>
    <w:uiPriority w:val="0"/>
    <w:rPr>
      <w:rFonts w:ascii="Tahoma" w:hAnsi="Tahoma" w:eastAsia="微软雅黑"/>
      <w:sz w:val="22"/>
      <w:szCs w:val="22"/>
    </w:rPr>
  </w:style>
  <w:style w:type="character" w:customStyle="1" w:styleId="30">
    <w:name w:val="正文文本缩进 Char"/>
    <w:basedOn w:val="21"/>
    <w:link w:val="8"/>
    <w:qFormat/>
    <w:uiPriority w:val="0"/>
    <w:rPr>
      <w:rFonts w:eastAsia="方正仿宋_GBK" w:cs="Times New Roman"/>
      <w:kern w:val="2"/>
      <w:sz w:val="32"/>
      <w:szCs w:val="24"/>
    </w:rPr>
  </w:style>
  <w:style w:type="character" w:customStyle="1" w:styleId="31">
    <w:name w:val="批注框文本 Char"/>
    <w:basedOn w:val="21"/>
    <w:link w:val="11"/>
    <w:qFormat/>
    <w:uiPriority w:val="0"/>
    <w:rPr>
      <w:rFonts w:eastAsia="方正仿宋_GBK" w:cs="Times New Roman"/>
      <w:kern w:val="2"/>
      <w:sz w:val="18"/>
      <w:szCs w:val="18"/>
    </w:rPr>
  </w:style>
  <w:style w:type="character" w:customStyle="1" w:styleId="32">
    <w:name w:val="页脚 Char"/>
    <w:basedOn w:val="21"/>
    <w:link w:val="12"/>
    <w:qFormat/>
    <w:uiPriority w:val="0"/>
    <w:rPr>
      <w:rFonts w:eastAsia="方正仿宋_GBK"/>
      <w:kern w:val="2"/>
      <w:sz w:val="18"/>
      <w:szCs w:val="18"/>
    </w:rPr>
  </w:style>
  <w:style w:type="character" w:customStyle="1" w:styleId="33">
    <w:name w:val="正文首行缩进 Char"/>
    <w:basedOn w:val="29"/>
    <w:link w:val="17"/>
    <w:qFormat/>
    <w:uiPriority w:val="0"/>
    <w:rPr>
      <w:rFonts w:eastAsia="方正仿宋_GBK"/>
      <w:kern w:val="2"/>
      <w:sz w:val="32"/>
      <w:szCs w:val="24"/>
    </w:rPr>
  </w:style>
  <w:style w:type="character" w:customStyle="1" w:styleId="34">
    <w:name w:val="正文首行缩进 2 Char"/>
    <w:basedOn w:val="30"/>
    <w:link w:val="18"/>
    <w:qFormat/>
    <w:uiPriority w:val="0"/>
  </w:style>
  <w:style w:type="character" w:customStyle="1" w:styleId="35">
    <w:name w:val="NormalCharacter"/>
    <w:qFormat/>
    <w:uiPriority w:val="0"/>
    <w:rPr>
      <w:rFonts w:ascii="Calibri" w:hAnsi="Calibri" w:eastAsia="宋体" w:cs="Times New Roman"/>
      <w:kern w:val="2"/>
      <w:sz w:val="21"/>
      <w:szCs w:val="24"/>
      <w:lang w:val="en-US" w:eastAsia="zh-CN" w:bidi="ar-SA"/>
    </w:rPr>
  </w:style>
  <w:style w:type="character" w:customStyle="1" w:styleId="36">
    <w:name w:val="ca-1"/>
    <w:basedOn w:val="21"/>
    <w:qFormat/>
    <w:uiPriority w:val="0"/>
    <w:rPr>
      <w:rFonts w:cs="Times New Roman"/>
    </w:rPr>
  </w:style>
  <w:style w:type="character" w:customStyle="1" w:styleId="37">
    <w:name w:val="lemmatitleh12"/>
    <w:basedOn w:val="21"/>
    <w:qFormat/>
    <w:uiPriority w:val="0"/>
  </w:style>
  <w:style w:type="character" w:customStyle="1" w:styleId="38">
    <w:name w:val="bjh-p"/>
    <w:basedOn w:val="21"/>
    <w:qFormat/>
    <w:uiPriority w:val="0"/>
  </w:style>
  <w:style w:type="paragraph" w:styleId="3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列出段落1"/>
    <w:basedOn w:val="1"/>
    <w:qFormat/>
    <w:uiPriority w:val="0"/>
    <w:pPr>
      <w:ind w:firstLine="420" w:firstLineChars="200"/>
    </w:pPr>
    <w:rPr>
      <w:rFonts w:cs="Times New Roman"/>
    </w:rPr>
  </w:style>
  <w:style w:type="paragraph" w:customStyle="1" w:styleId="41">
    <w:name w:val="p15"/>
    <w:basedOn w:val="1"/>
    <w:qFormat/>
    <w:uiPriority w:val="0"/>
    <w:pPr>
      <w:widowControl/>
      <w:spacing w:before="100" w:beforeLines="0" w:after="100" w:afterLines="0"/>
      <w:jc w:val="left"/>
    </w:pPr>
    <w:rPr>
      <w:rFonts w:ascii="宋体" w:hAnsi="宋体" w:eastAsia="宋体" w:cs="宋体"/>
      <w:kern w:val="0"/>
      <w:sz w:val="24"/>
    </w:rPr>
  </w:style>
  <w:style w:type="paragraph" w:customStyle="1" w:styleId="42">
    <w:name w:val="Char"/>
    <w:basedOn w:val="1"/>
    <w:qFormat/>
    <w:uiPriority w:val="0"/>
    <w:pPr>
      <w:widowControl/>
      <w:jc w:val="left"/>
    </w:pPr>
    <w:rPr>
      <w:rFonts w:eastAsia="宋体"/>
      <w:sz w:val="21"/>
    </w:rPr>
  </w:style>
  <w:style w:type="paragraph" w:customStyle="1" w:styleId="43">
    <w:name w:val=" Char Char2"/>
    <w:basedOn w:val="1"/>
    <w:qFormat/>
    <w:uiPriority w:val="0"/>
  </w:style>
  <w:style w:type="paragraph" w:customStyle="1" w:styleId="44">
    <w:name w:val="样式 样式 正文首行缩进 + 首行缩进:  2 字符1 + 四号 首行缩进:  2 字符"/>
    <w:basedOn w:val="1"/>
    <w:qFormat/>
    <w:uiPriority w:val="0"/>
    <w:pPr>
      <w:spacing w:line="360" w:lineRule="auto"/>
      <w:ind w:firstLine="560" w:firstLineChars="200"/>
    </w:pPr>
    <w:rPr>
      <w:rFonts w:ascii="Book Antiqua" w:hAnsi="Book Antiqua" w:eastAsia="宋体" w:cs="宋体"/>
      <w:sz w:val="24"/>
      <w:szCs w:val="20"/>
    </w:rPr>
  </w:style>
  <w:style w:type="paragraph" w:customStyle="1" w:styleId="45">
    <w:name w:val="Plain Text"/>
    <w:basedOn w:val="1"/>
    <w:qFormat/>
    <w:uiPriority w:val="0"/>
    <w:rPr>
      <w:rFonts w:ascii="宋体" w:hAnsi="Courier New" w:cs="Courier New"/>
      <w:szCs w:val="21"/>
    </w:rPr>
  </w:style>
  <w:style w:type="paragraph" w:customStyle="1" w:styleId="46">
    <w:name w:val="默认段落字体 Para Char Char Char Char Char Char Char Char Char Char"/>
    <w:basedOn w:val="1"/>
    <w:qFormat/>
    <w:uiPriority w:val="0"/>
    <w:rPr>
      <w:rFonts w:ascii="Arial" w:hAnsi="Arial" w:eastAsia="宋体" w:cs="Arial"/>
      <w:sz w:val="20"/>
      <w:szCs w:val="20"/>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Default"/>
    <w:qFormat/>
    <w:uiPriority w:val="0"/>
    <w:pPr>
      <w:widowControl w:val="0"/>
      <w:autoSpaceDE w:val="0"/>
      <w:autoSpaceDN w:val="0"/>
      <w:adjustRightInd w:val="0"/>
    </w:pPr>
    <w:rPr>
      <w:rFonts w:ascii="方正仿宋_GBK" w:hAnsi="Times New Roman" w:eastAsia="方正仿宋_GBK" w:cs="Times New Roman"/>
      <w:color w:val="000000"/>
      <w:sz w:val="24"/>
      <w:szCs w:val="24"/>
      <w:lang w:val="en-US" w:eastAsia="zh-CN" w:bidi="ar-SA"/>
    </w:rPr>
  </w:style>
  <w:style w:type="paragraph" w:customStyle="1" w:styleId="49">
    <w:name w:val=" Char"/>
    <w:basedOn w:val="1"/>
    <w:qFormat/>
    <w:uiPriority w:val="0"/>
  </w:style>
  <w:style w:type="paragraph" w:customStyle="1" w:styleId="50">
    <w:name w:val="p0"/>
    <w:basedOn w:val="1"/>
    <w:qFormat/>
    <w:uiPriority w:val="0"/>
    <w:pPr>
      <w:widowControl/>
      <w:spacing w:before="100" w:beforeLines="0" w:beforeAutospacing="1" w:after="100" w:afterLines="0" w:afterAutospacing="1"/>
      <w:jc w:val="left"/>
    </w:pPr>
    <w:rPr>
      <w:rFonts w:ascii="宋体" w:hAnsi="宋体" w:eastAsia="宋体" w:cs="宋体"/>
      <w:kern w:val="0"/>
      <w:sz w:val="24"/>
    </w:rPr>
  </w:style>
  <w:style w:type="paragraph" w:customStyle="1" w:styleId="51">
    <w:name w:val="样式1"/>
    <w:basedOn w:val="9"/>
    <w:qFormat/>
    <w:uiPriority w:val="0"/>
  </w:style>
  <w:style w:type="paragraph" w:customStyle="1" w:styleId="52">
    <w:name w:val="TOC 标题1"/>
    <w:basedOn w:val="2"/>
    <w:next w:val="1"/>
    <w:qFormat/>
    <w:uiPriority w:val="0"/>
    <w:pPr>
      <w:widowControl/>
      <w:spacing w:before="240" w:beforeLines="0" w:after="0" w:afterLines="0" w:line="259" w:lineRule="auto"/>
      <w:jc w:val="left"/>
      <w:outlineLvl w:val="9"/>
    </w:pPr>
    <w:rPr>
      <w:rFonts w:ascii="Cambria" w:hAnsi="Cambria" w:eastAsia="宋体" w:cs="Times New Roman"/>
      <w:b w:val="0"/>
      <w:bCs w:val="0"/>
      <w:color w:val="365F91"/>
      <w:kern w:val="0"/>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4270</Words>
  <Characters>4598</Characters>
  <Lines>28</Lines>
  <Paragraphs>8</Paragraphs>
  <TotalTime>6</TotalTime>
  <ScaleCrop>false</ScaleCrop>
  <LinksUpToDate>false</LinksUpToDate>
  <CharactersWithSpaces>4859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2021-11-28T01:05:00Z</dcterms:created>
  <dc:creator>we</dc:creator>
  <cp:lastModifiedBy>胡俊峰</cp:lastModifiedBy>
  <cp:lastPrinted>2022-07-13T01:29:00Z</cp:lastPrinted>
  <dcterms:modified xsi:type="dcterms:W3CDTF">2022-07-27T09:41:54Z</dcterms:modified>
  <dc:title>巫溪县人民政府办公室</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D37B6C46FA5445489DDC18D3037AD855</vt:lpwstr>
  </property>
</Properties>
</file>